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CF14E" w14:textId="6AB81017" w:rsidR="000539C0" w:rsidRPr="00292BED" w:rsidRDefault="00292BED" w:rsidP="00A91C80">
      <w:pPr>
        <w:rPr>
          <w:b/>
          <w:sz w:val="28"/>
          <w:lang w:val="fr-CA"/>
        </w:rPr>
      </w:pPr>
      <w:r>
        <w:rPr>
          <w:b/>
          <w:sz w:val="28"/>
          <w:lang w:val="fr-CA"/>
        </w:rPr>
        <w:t>S</w:t>
      </w:r>
      <w:r w:rsidR="004F3D6D">
        <w:rPr>
          <w:b/>
          <w:sz w:val="28"/>
          <w:lang w:val="fr-CA"/>
        </w:rPr>
        <w:t xml:space="preserve">anté </w:t>
      </w:r>
      <w:r>
        <w:rPr>
          <w:b/>
          <w:sz w:val="28"/>
          <w:lang w:val="fr-CA"/>
        </w:rPr>
        <w:t>C</w:t>
      </w:r>
      <w:r w:rsidR="004F3D6D">
        <w:rPr>
          <w:b/>
          <w:sz w:val="28"/>
          <w:lang w:val="fr-CA"/>
        </w:rPr>
        <w:t>anada</w:t>
      </w:r>
      <w:r>
        <w:rPr>
          <w:b/>
          <w:sz w:val="28"/>
          <w:lang w:val="fr-CA"/>
        </w:rPr>
        <w:t xml:space="preserve"> vous invite à </w:t>
      </w:r>
      <w:r w:rsidR="000C7CA5">
        <w:rPr>
          <w:b/>
          <w:sz w:val="28"/>
          <w:lang w:val="fr-CA"/>
        </w:rPr>
        <w:t>lui faire part de</w:t>
      </w:r>
      <w:r>
        <w:rPr>
          <w:b/>
          <w:sz w:val="28"/>
          <w:lang w:val="fr-CA"/>
        </w:rPr>
        <w:t xml:space="preserve"> votre point de vue </w:t>
      </w:r>
      <w:r w:rsidR="00FD29FA">
        <w:rPr>
          <w:b/>
          <w:sz w:val="28"/>
          <w:lang w:val="fr-CA"/>
        </w:rPr>
        <w:t>au sujet de la priori</w:t>
      </w:r>
      <w:r w:rsidR="00634EB2">
        <w:rPr>
          <w:b/>
          <w:sz w:val="28"/>
          <w:lang w:val="fr-CA"/>
        </w:rPr>
        <w:t>té à donner aux</w:t>
      </w:r>
      <w:r>
        <w:rPr>
          <w:b/>
          <w:sz w:val="28"/>
          <w:lang w:val="fr-CA"/>
        </w:rPr>
        <w:t xml:space="preserve"> question</w:t>
      </w:r>
      <w:r w:rsidR="006E54A6">
        <w:rPr>
          <w:b/>
          <w:sz w:val="28"/>
          <w:lang w:val="fr-CA"/>
        </w:rPr>
        <w:t>s</w:t>
      </w:r>
      <w:r>
        <w:rPr>
          <w:b/>
          <w:sz w:val="28"/>
          <w:lang w:val="fr-CA"/>
        </w:rPr>
        <w:t xml:space="preserve"> </w:t>
      </w:r>
      <w:r w:rsidR="00843C94">
        <w:rPr>
          <w:b/>
          <w:sz w:val="28"/>
          <w:lang w:val="fr-CA"/>
        </w:rPr>
        <w:t xml:space="preserve">relatives </w:t>
      </w:r>
      <w:r w:rsidR="00843C94" w:rsidRPr="00843C94">
        <w:rPr>
          <w:b/>
          <w:sz w:val="28"/>
          <w:lang w:val="fr-CA"/>
        </w:rPr>
        <w:t>à</w:t>
      </w:r>
      <w:r w:rsidRPr="00843C94">
        <w:rPr>
          <w:b/>
          <w:sz w:val="28"/>
          <w:lang w:val="fr-CA"/>
        </w:rPr>
        <w:t xml:space="preserve"> la </w:t>
      </w:r>
      <w:r w:rsidR="00D65AE9">
        <w:rPr>
          <w:b/>
          <w:sz w:val="28"/>
          <w:lang w:val="fr-CA"/>
        </w:rPr>
        <w:t>qualité de l’air intérieur</w:t>
      </w:r>
    </w:p>
    <w:p w14:paraId="21F6214B" w14:textId="650CC4D4" w:rsidR="00292BED" w:rsidRDefault="00292BED" w:rsidP="00F7705C">
      <w:pPr>
        <w:rPr>
          <w:lang w:val="fr-CA"/>
        </w:rPr>
      </w:pPr>
      <w:r w:rsidRPr="00292BED">
        <w:rPr>
          <w:lang w:val="fr-CA"/>
        </w:rPr>
        <w:t xml:space="preserve">Le Programme </w:t>
      </w:r>
      <w:r w:rsidR="00520023">
        <w:rPr>
          <w:lang w:val="fr-CA"/>
        </w:rPr>
        <w:t>sur</w:t>
      </w:r>
      <w:r w:rsidRPr="00292BED">
        <w:rPr>
          <w:lang w:val="fr-CA"/>
        </w:rPr>
        <w:t xml:space="preserve"> l</w:t>
      </w:r>
      <w:r>
        <w:rPr>
          <w:lang w:val="fr-CA"/>
        </w:rPr>
        <w:t>a qualité de l’air intérieur de S</w:t>
      </w:r>
      <w:r w:rsidR="00E558B1">
        <w:rPr>
          <w:lang w:val="fr-CA"/>
        </w:rPr>
        <w:t>anté Canada</w:t>
      </w:r>
      <w:r>
        <w:rPr>
          <w:lang w:val="fr-CA"/>
        </w:rPr>
        <w:t xml:space="preserve"> établit des lignes directrices </w:t>
      </w:r>
      <w:r w:rsidR="00C5772F">
        <w:rPr>
          <w:lang w:val="fr-CA"/>
        </w:rPr>
        <w:t>ainsi que</w:t>
      </w:r>
      <w:r>
        <w:rPr>
          <w:lang w:val="fr-CA"/>
        </w:rPr>
        <w:t xml:space="preserve"> d’autres types de directives</w:t>
      </w:r>
      <w:r w:rsidR="00621E60">
        <w:rPr>
          <w:lang w:val="fr-CA"/>
        </w:rPr>
        <w:t>,</w:t>
      </w:r>
      <w:r>
        <w:rPr>
          <w:lang w:val="fr-CA"/>
        </w:rPr>
        <w:t xml:space="preserve"> </w:t>
      </w:r>
      <w:r w:rsidR="00110FEC">
        <w:rPr>
          <w:lang w:val="fr-CA"/>
        </w:rPr>
        <w:t>et fait la promotion des</w:t>
      </w:r>
      <w:r>
        <w:rPr>
          <w:lang w:val="fr-CA"/>
        </w:rPr>
        <w:t xml:space="preserve"> meilleur</w:t>
      </w:r>
      <w:r w:rsidR="0041024D">
        <w:rPr>
          <w:lang w:val="fr-CA"/>
        </w:rPr>
        <w:t>e</w:t>
      </w:r>
      <w:r>
        <w:rPr>
          <w:lang w:val="fr-CA"/>
        </w:rPr>
        <w:t>s pratiques pour améliorer la qualité de l’air intérieur</w:t>
      </w:r>
      <w:r w:rsidR="0041024D">
        <w:rPr>
          <w:lang w:val="fr-CA"/>
        </w:rPr>
        <w:t xml:space="preserve"> </w:t>
      </w:r>
      <w:r w:rsidR="000B4E2B">
        <w:rPr>
          <w:lang w:val="fr-CA"/>
        </w:rPr>
        <w:t xml:space="preserve">en </w:t>
      </w:r>
      <w:r w:rsidR="00CB0A9E">
        <w:rPr>
          <w:lang w:val="fr-CA"/>
        </w:rPr>
        <w:t>procédant à</w:t>
      </w:r>
      <w:r w:rsidR="0041024D">
        <w:rPr>
          <w:lang w:val="fr-CA"/>
        </w:rPr>
        <w:t xml:space="preserve"> </w:t>
      </w:r>
      <w:r w:rsidR="00152026">
        <w:rPr>
          <w:lang w:val="fr-CA"/>
        </w:rPr>
        <w:t>l</w:t>
      </w:r>
      <w:r w:rsidR="0041024D">
        <w:rPr>
          <w:lang w:val="fr-CA"/>
        </w:rPr>
        <w:t xml:space="preserve">’évaluation, </w:t>
      </w:r>
      <w:r w:rsidR="00CB0A9E">
        <w:rPr>
          <w:lang w:val="fr-CA"/>
        </w:rPr>
        <w:t xml:space="preserve">à </w:t>
      </w:r>
      <w:r w:rsidR="0041024D">
        <w:rPr>
          <w:lang w:val="fr-CA"/>
        </w:rPr>
        <w:t xml:space="preserve">la recherche et </w:t>
      </w:r>
      <w:r w:rsidR="00CB0A9E">
        <w:rPr>
          <w:lang w:val="fr-CA"/>
        </w:rPr>
        <w:t xml:space="preserve">à </w:t>
      </w:r>
      <w:r w:rsidR="0041024D">
        <w:rPr>
          <w:lang w:val="fr-CA"/>
        </w:rPr>
        <w:t xml:space="preserve">la </w:t>
      </w:r>
      <w:r w:rsidR="0041024D" w:rsidRPr="00A90149">
        <w:rPr>
          <w:lang w:val="fr-CA"/>
        </w:rPr>
        <w:t>communication</w:t>
      </w:r>
      <w:r w:rsidR="0041024D">
        <w:rPr>
          <w:lang w:val="fr-CA"/>
        </w:rPr>
        <w:t xml:space="preserve"> des effets des polluants de l’air intérieur sur la santé et</w:t>
      </w:r>
      <w:r w:rsidR="009068CD">
        <w:rPr>
          <w:lang w:val="fr-CA"/>
        </w:rPr>
        <w:t xml:space="preserve"> </w:t>
      </w:r>
      <w:r w:rsidR="00792C44">
        <w:rPr>
          <w:lang w:val="fr-CA"/>
        </w:rPr>
        <w:t>en élaborant</w:t>
      </w:r>
      <w:r w:rsidR="0041024D">
        <w:rPr>
          <w:lang w:val="fr-CA"/>
        </w:rPr>
        <w:t xml:space="preserve"> de</w:t>
      </w:r>
      <w:r w:rsidR="00792C44">
        <w:rPr>
          <w:lang w:val="fr-CA"/>
        </w:rPr>
        <w:t>s</w:t>
      </w:r>
      <w:r w:rsidR="0041024D">
        <w:rPr>
          <w:lang w:val="fr-CA"/>
        </w:rPr>
        <w:t xml:space="preserve"> stratégies permettant de diminuer l’exposition.</w:t>
      </w:r>
      <w:r w:rsidR="004C4676">
        <w:rPr>
          <w:lang w:val="fr-CA"/>
        </w:rPr>
        <w:t xml:space="preserve"> </w:t>
      </w:r>
      <w:r w:rsidR="004C4676" w:rsidRPr="004C4676">
        <w:rPr>
          <w:lang w:val="fr-CA"/>
        </w:rPr>
        <w:t>Les publications de S</w:t>
      </w:r>
      <w:r w:rsidR="0046220D">
        <w:rPr>
          <w:lang w:val="fr-CA"/>
        </w:rPr>
        <w:t xml:space="preserve">anté </w:t>
      </w:r>
      <w:r w:rsidR="004C4676" w:rsidRPr="004C4676">
        <w:rPr>
          <w:lang w:val="fr-CA"/>
        </w:rPr>
        <w:t>C</w:t>
      </w:r>
      <w:r w:rsidR="0046220D">
        <w:rPr>
          <w:lang w:val="fr-CA"/>
        </w:rPr>
        <w:t>anada</w:t>
      </w:r>
      <w:r w:rsidR="004C4676" w:rsidRPr="004C4676">
        <w:rPr>
          <w:lang w:val="fr-CA"/>
        </w:rPr>
        <w:t xml:space="preserve"> sur l’air intérieur visent à</w:t>
      </w:r>
      <w:r w:rsidR="00B85C27">
        <w:rPr>
          <w:lang w:val="fr-CA"/>
        </w:rPr>
        <w:t xml:space="preserve"> combler</w:t>
      </w:r>
      <w:r w:rsidR="004C4676">
        <w:rPr>
          <w:lang w:val="fr-CA"/>
        </w:rPr>
        <w:t xml:space="preserve"> les besoins et </w:t>
      </w:r>
      <w:r w:rsidR="00C24286">
        <w:rPr>
          <w:lang w:val="fr-CA"/>
        </w:rPr>
        <w:t xml:space="preserve">à </w:t>
      </w:r>
      <w:r w:rsidR="00B85C27">
        <w:rPr>
          <w:lang w:val="fr-CA"/>
        </w:rPr>
        <w:t xml:space="preserve">appuyer </w:t>
      </w:r>
      <w:r w:rsidR="004C4676">
        <w:rPr>
          <w:lang w:val="fr-CA"/>
        </w:rPr>
        <w:t>les activités des provinces, des territoires, des municipalités, des organis</w:t>
      </w:r>
      <w:r w:rsidR="00040FA6">
        <w:rPr>
          <w:lang w:val="fr-CA"/>
        </w:rPr>
        <w:t>ations</w:t>
      </w:r>
      <w:r w:rsidR="004C4676">
        <w:rPr>
          <w:lang w:val="fr-CA"/>
        </w:rPr>
        <w:t xml:space="preserve"> non</w:t>
      </w:r>
      <w:r w:rsidR="00621E60">
        <w:rPr>
          <w:lang w:val="fr-CA"/>
        </w:rPr>
        <w:t xml:space="preserve"> </w:t>
      </w:r>
      <w:r w:rsidR="004C4676">
        <w:rPr>
          <w:lang w:val="fr-CA"/>
        </w:rPr>
        <w:t>gouvernementa</w:t>
      </w:r>
      <w:r w:rsidR="00040FA6">
        <w:rPr>
          <w:lang w:val="fr-CA"/>
        </w:rPr>
        <w:t>les</w:t>
      </w:r>
      <w:r w:rsidR="004C4676">
        <w:rPr>
          <w:lang w:val="fr-CA"/>
        </w:rPr>
        <w:t>, des industries et des autres organismes fédéraux et ministère</w:t>
      </w:r>
      <w:r w:rsidR="001D0BF1">
        <w:rPr>
          <w:lang w:val="fr-CA"/>
        </w:rPr>
        <w:t>s</w:t>
      </w:r>
      <w:r w:rsidR="004C4676">
        <w:rPr>
          <w:lang w:val="fr-CA"/>
        </w:rPr>
        <w:t>, en plus du public canadien.</w:t>
      </w:r>
    </w:p>
    <w:p w14:paraId="5BA9A476" w14:textId="47D1B2AA" w:rsidR="00E558B1" w:rsidRDefault="00E558B1" w:rsidP="00F7705C">
      <w:pPr>
        <w:rPr>
          <w:lang w:val="fr-CA"/>
        </w:rPr>
      </w:pPr>
      <w:r>
        <w:rPr>
          <w:lang w:val="fr-CA"/>
        </w:rPr>
        <w:t xml:space="preserve">Santé Canada a élaboré un processus d’établissement des priorités pour l’évaluation des risques </w:t>
      </w:r>
      <w:r w:rsidR="008161C9">
        <w:rPr>
          <w:lang w:val="fr-CA"/>
        </w:rPr>
        <w:t>posés par les</w:t>
      </w:r>
      <w:r w:rsidR="002A0BA7">
        <w:rPr>
          <w:lang w:val="fr-CA"/>
        </w:rPr>
        <w:t xml:space="preserve"> </w:t>
      </w:r>
      <w:r>
        <w:rPr>
          <w:lang w:val="fr-CA"/>
        </w:rPr>
        <w:t>contaminant</w:t>
      </w:r>
      <w:r w:rsidR="00994199">
        <w:rPr>
          <w:lang w:val="fr-CA"/>
        </w:rPr>
        <w:t>s</w:t>
      </w:r>
      <w:r>
        <w:rPr>
          <w:lang w:val="fr-CA"/>
        </w:rPr>
        <w:t xml:space="preserve"> de l’air intérieur. Ce processus doit être effectué </w:t>
      </w:r>
      <w:r w:rsidR="007252C5">
        <w:rPr>
          <w:lang w:val="fr-CA"/>
        </w:rPr>
        <w:t xml:space="preserve">environ </w:t>
      </w:r>
      <w:r>
        <w:rPr>
          <w:lang w:val="fr-CA"/>
        </w:rPr>
        <w:t>tous les trois ans. Un</w:t>
      </w:r>
      <w:r w:rsidR="00994199">
        <w:rPr>
          <w:lang w:val="fr-CA"/>
        </w:rPr>
        <w:t xml:space="preserve"> ap</w:t>
      </w:r>
      <w:r w:rsidR="00F21A53">
        <w:rPr>
          <w:lang w:val="fr-CA"/>
        </w:rPr>
        <w:t>er</w:t>
      </w:r>
      <w:r w:rsidR="00994199">
        <w:rPr>
          <w:lang w:val="fr-CA"/>
        </w:rPr>
        <w:t xml:space="preserve">çu </w:t>
      </w:r>
      <w:r>
        <w:rPr>
          <w:lang w:val="fr-CA"/>
        </w:rPr>
        <w:t xml:space="preserve">de ce processus est </w:t>
      </w:r>
      <w:r w:rsidR="00F21A53">
        <w:rPr>
          <w:lang w:val="fr-CA"/>
        </w:rPr>
        <w:t>accessible</w:t>
      </w:r>
      <w:r>
        <w:rPr>
          <w:lang w:val="fr-CA"/>
        </w:rPr>
        <w:t xml:space="preserve"> en ligne </w:t>
      </w:r>
      <w:r w:rsidR="00F21A53">
        <w:rPr>
          <w:lang w:val="fr-CA"/>
        </w:rPr>
        <w:t>au</w:t>
      </w:r>
      <w:r w:rsidR="00F21A53" w:rsidRPr="00A90149">
        <w:rPr>
          <w:lang w:val="fr-CA"/>
        </w:rPr>
        <w:t xml:space="preserve"> lien suivant</w:t>
      </w:r>
      <w:r w:rsidRPr="00A90149">
        <w:rPr>
          <w:lang w:val="fr-CA"/>
        </w:rPr>
        <w:t> :</w:t>
      </w:r>
    </w:p>
    <w:p w14:paraId="2C143C14" w14:textId="3D8A3936" w:rsidR="00E558B1" w:rsidRDefault="005A2348" w:rsidP="00F7705C">
      <w:pPr>
        <w:rPr>
          <w:lang w:val="fr-CA"/>
        </w:rPr>
      </w:pPr>
      <w:hyperlink r:id="rId7" w:history="1">
        <w:r w:rsidR="00570157">
          <w:rPr>
            <w:rStyle w:val="Hyperlink"/>
            <w:lang w:val="fr-CA"/>
          </w:rPr>
          <w:t>https://www.canada.ca/fr/sante-canada/services/qualite-air/lignes-directrices-qualite-air-interieur-residentiel/processus-etablissement-priorites-evaluation-risques-contaminants-air-interieur.html</w:t>
        </w:r>
      </w:hyperlink>
    </w:p>
    <w:p w14:paraId="45E43343" w14:textId="08F55929" w:rsidR="00E558B1" w:rsidRDefault="00A90657" w:rsidP="00F7705C">
      <w:pPr>
        <w:rPr>
          <w:lang w:val="fr-CA"/>
        </w:rPr>
      </w:pPr>
      <w:r>
        <w:rPr>
          <w:lang w:val="fr-CA"/>
        </w:rPr>
        <w:t xml:space="preserve">Une plus grande priorité est accordée aux contaminants pour lesquels de nouveaux renseignements indiquent </w:t>
      </w:r>
      <w:r w:rsidR="00B07626">
        <w:rPr>
          <w:lang w:val="fr-CA"/>
        </w:rPr>
        <w:t xml:space="preserve">qu’ils posent </w:t>
      </w:r>
      <w:r>
        <w:rPr>
          <w:lang w:val="fr-CA"/>
        </w:rPr>
        <w:t xml:space="preserve">un risque pour la santé </w:t>
      </w:r>
      <w:r w:rsidR="00B07626">
        <w:rPr>
          <w:lang w:val="fr-CA"/>
        </w:rPr>
        <w:t xml:space="preserve">après une </w:t>
      </w:r>
      <w:r>
        <w:rPr>
          <w:lang w:val="fr-CA"/>
        </w:rPr>
        <w:t xml:space="preserve">exposition par inhalation </w:t>
      </w:r>
      <w:r w:rsidR="00B07626">
        <w:rPr>
          <w:lang w:val="fr-CA"/>
        </w:rPr>
        <w:t>aux</w:t>
      </w:r>
      <w:r>
        <w:rPr>
          <w:lang w:val="fr-CA"/>
        </w:rPr>
        <w:t xml:space="preserve"> niveaux </w:t>
      </w:r>
      <w:r w:rsidR="00B07626">
        <w:rPr>
          <w:lang w:val="fr-CA"/>
        </w:rPr>
        <w:t>présents</w:t>
      </w:r>
      <w:r>
        <w:rPr>
          <w:lang w:val="fr-CA"/>
        </w:rPr>
        <w:t xml:space="preserve"> dans l’air intérieur. Cependant, la décision quant aux prochaines étapes à suivre pour chaque contaminant doit également prendre en compte d’autres critères, comme la disponibilité des données, les demandes des intervenants, les besoins des partenaires et </w:t>
      </w:r>
      <w:r w:rsidR="00FA2D1A">
        <w:rPr>
          <w:lang w:val="fr-CA"/>
        </w:rPr>
        <w:t>d’</w:t>
      </w:r>
      <w:r>
        <w:rPr>
          <w:lang w:val="fr-CA"/>
        </w:rPr>
        <w:t xml:space="preserve">autres activités </w:t>
      </w:r>
      <w:r w:rsidR="003007D6">
        <w:rPr>
          <w:lang w:val="fr-CA"/>
        </w:rPr>
        <w:t xml:space="preserve">du </w:t>
      </w:r>
      <w:r>
        <w:rPr>
          <w:lang w:val="fr-CA"/>
        </w:rPr>
        <w:t>gouvernement. Les résultats possible</w:t>
      </w:r>
      <w:r w:rsidR="006E1273">
        <w:rPr>
          <w:lang w:val="fr-CA"/>
        </w:rPr>
        <w:t>s</w:t>
      </w:r>
      <w:r>
        <w:rPr>
          <w:lang w:val="fr-CA"/>
        </w:rPr>
        <w:t xml:space="preserve"> sont les suivants : </w:t>
      </w:r>
    </w:p>
    <w:p w14:paraId="34238114" w14:textId="18A18B0B" w:rsidR="00A90657" w:rsidRDefault="00A90657" w:rsidP="00A90657">
      <w:pPr>
        <w:pStyle w:val="ListParagraph"/>
        <w:numPr>
          <w:ilvl w:val="0"/>
          <w:numId w:val="7"/>
        </w:numPr>
        <w:rPr>
          <w:lang w:val="fr-CA"/>
        </w:rPr>
      </w:pPr>
      <w:r>
        <w:rPr>
          <w:lang w:val="fr-CA"/>
        </w:rPr>
        <w:t xml:space="preserve">Élaboration de </w:t>
      </w:r>
      <w:hyperlink r:id="rId8" w:history="1">
        <w:r w:rsidRPr="00A90657">
          <w:rPr>
            <w:rStyle w:val="Hyperlink"/>
            <w:lang w:val="fr-CA"/>
          </w:rPr>
          <w:t>Lignes directrices sur la qualité de l</w:t>
        </w:r>
        <w:r w:rsidR="006E54A6">
          <w:rPr>
            <w:rStyle w:val="Hyperlink"/>
            <w:lang w:val="fr-CA"/>
          </w:rPr>
          <w:t>’</w:t>
        </w:r>
        <w:r w:rsidRPr="00A90657">
          <w:rPr>
            <w:rStyle w:val="Hyperlink"/>
            <w:lang w:val="fr-CA"/>
          </w:rPr>
          <w:t>air intérieur résidentiel</w:t>
        </w:r>
      </w:hyperlink>
      <w:r w:rsidR="00D83732" w:rsidRPr="00D83732">
        <w:rPr>
          <w:lang w:val="fr-CA"/>
        </w:rPr>
        <w:t>;</w:t>
      </w:r>
    </w:p>
    <w:p w14:paraId="7C3207CC" w14:textId="64140E26" w:rsidR="00A90657" w:rsidRPr="00A90657" w:rsidRDefault="00A90657" w:rsidP="00A90657">
      <w:pPr>
        <w:pStyle w:val="ListParagraph"/>
        <w:numPr>
          <w:ilvl w:val="0"/>
          <w:numId w:val="7"/>
        </w:numPr>
        <w:rPr>
          <w:lang w:val="fr-CA"/>
        </w:rPr>
      </w:pPr>
      <w:r>
        <w:rPr>
          <w:lang w:val="fr-CA"/>
        </w:rPr>
        <w:t xml:space="preserve">Proposition </w:t>
      </w:r>
      <w:bookmarkStart w:id="0" w:name="_Hlk74910538"/>
      <w:r>
        <w:rPr>
          <w:lang w:val="fr-CA"/>
        </w:rPr>
        <w:t xml:space="preserve">de </w:t>
      </w:r>
      <w:hyperlink r:id="rId9" w:history="1">
        <w:r w:rsidRPr="00A90657">
          <w:rPr>
            <w:rStyle w:val="Hyperlink"/>
            <w:lang w:val="fr-CA"/>
          </w:rPr>
          <w:t>Niveaux de référence dans l’air intérieur</w:t>
        </w:r>
        <w:r w:rsidR="00D83732" w:rsidRPr="00D83732">
          <w:rPr>
            <w:rStyle w:val="Hyperlink"/>
            <w:color w:val="auto"/>
            <w:u w:val="none"/>
            <w:lang w:val="fr-CA"/>
          </w:rPr>
          <w:t>;</w:t>
        </w:r>
        <w:r w:rsidRPr="00D83732">
          <w:rPr>
            <w:rStyle w:val="Hyperlink"/>
            <w:color w:val="auto"/>
            <w:u w:val="none"/>
            <w:lang w:val="fr-CA"/>
          </w:rPr>
          <w:t xml:space="preserve"> </w:t>
        </w:r>
      </w:hyperlink>
      <w:bookmarkEnd w:id="0"/>
    </w:p>
    <w:p w14:paraId="2E16C46B" w14:textId="3923B937" w:rsidR="00A90657" w:rsidRDefault="00CF3FFB" w:rsidP="00A90657">
      <w:pPr>
        <w:pStyle w:val="ListParagraph"/>
        <w:numPr>
          <w:ilvl w:val="0"/>
          <w:numId w:val="7"/>
        </w:numPr>
        <w:rPr>
          <w:lang w:val="fr-CA"/>
        </w:rPr>
      </w:pPr>
      <w:r w:rsidRPr="00CF3FFB">
        <w:rPr>
          <w:lang w:val="fr-CA"/>
        </w:rPr>
        <w:t>Produits d’orientation et de c</w:t>
      </w:r>
      <w:r>
        <w:rPr>
          <w:lang w:val="fr-CA"/>
        </w:rPr>
        <w:t>ommunication</w:t>
      </w:r>
      <w:r w:rsidR="00D83732">
        <w:rPr>
          <w:lang w:val="fr-CA"/>
        </w:rPr>
        <w:t>;</w:t>
      </w:r>
    </w:p>
    <w:p w14:paraId="511FA575" w14:textId="130D0DCE" w:rsidR="00CF3FFB" w:rsidRDefault="00564EB8" w:rsidP="00A90657">
      <w:pPr>
        <w:pStyle w:val="ListParagraph"/>
        <w:numPr>
          <w:ilvl w:val="0"/>
          <w:numId w:val="7"/>
        </w:numPr>
        <w:rPr>
          <w:lang w:val="fr-CA"/>
        </w:rPr>
      </w:pPr>
      <w:r w:rsidRPr="00A90149">
        <w:rPr>
          <w:lang w:val="fr-CA"/>
        </w:rPr>
        <w:t>Inclusion dans</w:t>
      </w:r>
      <w:r w:rsidR="00CF3FFB">
        <w:rPr>
          <w:lang w:val="fr-CA"/>
        </w:rPr>
        <w:t xml:space="preserve"> des études sur l’exposition à l’air intérieur</w:t>
      </w:r>
      <w:r w:rsidR="00D83732">
        <w:rPr>
          <w:lang w:val="fr-CA"/>
        </w:rPr>
        <w:t>;</w:t>
      </w:r>
    </w:p>
    <w:p w14:paraId="6C1E4514" w14:textId="7DEF2D2E" w:rsidR="00CF3FFB" w:rsidRPr="00A90657" w:rsidRDefault="00DA624F" w:rsidP="00A90657">
      <w:pPr>
        <w:pStyle w:val="ListParagraph"/>
        <w:numPr>
          <w:ilvl w:val="0"/>
          <w:numId w:val="7"/>
        </w:numPr>
        <w:rPr>
          <w:lang w:val="fr-CA"/>
        </w:rPr>
      </w:pPr>
      <w:r>
        <w:rPr>
          <w:lang w:val="fr-CA"/>
        </w:rPr>
        <w:t xml:space="preserve">Prise en compte dans le cadre </w:t>
      </w:r>
      <w:r w:rsidR="00CF3FFB">
        <w:rPr>
          <w:lang w:val="fr-CA"/>
        </w:rPr>
        <w:t xml:space="preserve">d’exercices ultérieurs </w:t>
      </w:r>
      <w:r w:rsidR="006857DD">
        <w:rPr>
          <w:lang w:val="fr-CA"/>
        </w:rPr>
        <w:t>portant sur l</w:t>
      </w:r>
      <w:r w:rsidR="00CF3FFB">
        <w:rPr>
          <w:lang w:val="fr-CA"/>
        </w:rPr>
        <w:t>’établissement des priorités</w:t>
      </w:r>
      <w:r w:rsidR="00D83732">
        <w:rPr>
          <w:lang w:val="fr-CA"/>
        </w:rPr>
        <w:t>.</w:t>
      </w:r>
    </w:p>
    <w:p w14:paraId="5CD805D1" w14:textId="677A071A" w:rsidR="007F2C3E" w:rsidRPr="007F2C3E" w:rsidRDefault="007F2C3E" w:rsidP="009E4611">
      <w:pPr>
        <w:rPr>
          <w:b/>
          <w:szCs w:val="18"/>
          <w:lang w:val="fr-CA"/>
        </w:rPr>
      </w:pPr>
      <w:r w:rsidRPr="007F2C3E">
        <w:rPr>
          <w:lang w:val="fr-CA"/>
        </w:rPr>
        <w:t>Nous s</w:t>
      </w:r>
      <w:r w:rsidR="006E54A6">
        <w:rPr>
          <w:lang w:val="fr-CA"/>
        </w:rPr>
        <w:t>ouhaitons connaître</w:t>
      </w:r>
      <w:r>
        <w:rPr>
          <w:lang w:val="fr-CA"/>
        </w:rPr>
        <w:t xml:space="preserve"> votre point de vue sur les priorités en ce qui a trait aux</w:t>
      </w:r>
      <w:r>
        <w:rPr>
          <w:bCs/>
          <w:szCs w:val="18"/>
          <w:lang w:val="fr-CA"/>
        </w:rPr>
        <w:t xml:space="preserve"> contaminants de l’air intérieur individuels et aux classes de ces contaminants pour lesquels une limite d’exposition </w:t>
      </w:r>
      <w:r w:rsidR="001E3C8B">
        <w:rPr>
          <w:bCs/>
          <w:szCs w:val="18"/>
          <w:lang w:val="fr-CA"/>
        </w:rPr>
        <w:t>liée à</w:t>
      </w:r>
      <w:r w:rsidRPr="00585796">
        <w:rPr>
          <w:bCs/>
          <w:szCs w:val="18"/>
          <w:lang w:val="fr-CA"/>
        </w:rPr>
        <w:t xml:space="preserve"> la santé</w:t>
      </w:r>
      <w:r>
        <w:rPr>
          <w:bCs/>
          <w:szCs w:val="18"/>
          <w:lang w:val="fr-CA"/>
        </w:rPr>
        <w:t xml:space="preserve"> pourrait être bénéfique, </w:t>
      </w:r>
      <w:r w:rsidR="00400C21">
        <w:rPr>
          <w:bCs/>
          <w:szCs w:val="18"/>
          <w:lang w:val="fr-CA"/>
        </w:rPr>
        <w:t>ainsi que sur</w:t>
      </w:r>
      <w:r>
        <w:rPr>
          <w:bCs/>
          <w:szCs w:val="18"/>
          <w:lang w:val="fr-CA"/>
        </w:rPr>
        <w:t xml:space="preserve"> des</w:t>
      </w:r>
      <w:r w:rsidRPr="00585796">
        <w:rPr>
          <w:bCs/>
          <w:szCs w:val="18"/>
          <w:lang w:val="fr-CA"/>
        </w:rPr>
        <w:t xml:space="preserve"> questions</w:t>
      </w:r>
      <w:r>
        <w:rPr>
          <w:bCs/>
          <w:szCs w:val="18"/>
          <w:lang w:val="fr-CA"/>
        </w:rPr>
        <w:t xml:space="preserve"> plus vastes concernant l’air intérieur, les sources et les environnements intérieurs (résidentiels et non résidentiels</w:t>
      </w:r>
      <w:r w:rsidRPr="00993CD0">
        <w:rPr>
          <w:bCs/>
          <w:szCs w:val="18"/>
          <w:lang w:val="fr-CA"/>
        </w:rPr>
        <w:t>) d’intérêt</w:t>
      </w:r>
      <w:r>
        <w:rPr>
          <w:bCs/>
          <w:szCs w:val="18"/>
          <w:lang w:val="fr-CA"/>
        </w:rPr>
        <w:t xml:space="preserve">. </w:t>
      </w:r>
      <w:r w:rsidR="007F3712">
        <w:rPr>
          <w:bCs/>
          <w:szCs w:val="18"/>
          <w:lang w:val="fr-CA"/>
        </w:rPr>
        <w:t>N</w:t>
      </w:r>
      <w:r>
        <w:rPr>
          <w:bCs/>
          <w:szCs w:val="18"/>
          <w:lang w:val="fr-CA"/>
        </w:rPr>
        <w:t>ous aimerions</w:t>
      </w:r>
      <w:r w:rsidR="00F43898">
        <w:rPr>
          <w:bCs/>
          <w:szCs w:val="18"/>
          <w:lang w:val="fr-CA"/>
        </w:rPr>
        <w:t xml:space="preserve"> </w:t>
      </w:r>
      <w:r>
        <w:rPr>
          <w:bCs/>
          <w:szCs w:val="18"/>
          <w:lang w:val="fr-CA"/>
        </w:rPr>
        <w:t xml:space="preserve">connaître vos réponses aux questions ci-dessous. </w:t>
      </w:r>
      <w:bookmarkStart w:id="1" w:name="_GoBack"/>
      <w:r>
        <w:rPr>
          <w:b/>
          <w:szCs w:val="18"/>
          <w:lang w:val="fr-CA"/>
        </w:rPr>
        <w:t xml:space="preserve">Les réponses doivent être envoyées au Programme </w:t>
      </w:r>
      <w:r w:rsidR="00520023">
        <w:rPr>
          <w:b/>
          <w:szCs w:val="18"/>
          <w:lang w:val="fr-CA"/>
        </w:rPr>
        <w:t>sur</w:t>
      </w:r>
      <w:r>
        <w:rPr>
          <w:b/>
          <w:szCs w:val="18"/>
          <w:lang w:val="fr-CA"/>
        </w:rPr>
        <w:t xml:space="preserve"> la qualité de l’air intérieur (</w:t>
      </w:r>
      <w:hyperlink r:id="rId10" w:history="1">
        <w:r w:rsidRPr="0044127A">
          <w:rPr>
            <w:rStyle w:val="Hyperlink"/>
            <w:rFonts w:ascii="Calibri" w:eastAsia="Times New Roman" w:hAnsi="Calibri" w:cs="Calibri"/>
            <w:b/>
            <w:lang w:val="fr-CA" w:eastAsia="en-CA"/>
          </w:rPr>
          <w:t>HC.air.SC@canada.ca</w:t>
        </w:r>
      </w:hyperlink>
      <w:r>
        <w:rPr>
          <w:rFonts w:ascii="Calibri" w:eastAsia="Times New Roman" w:hAnsi="Calibri" w:cs="Calibri"/>
          <w:b/>
          <w:lang w:val="fr-CA" w:eastAsia="en-CA"/>
        </w:rPr>
        <w:t xml:space="preserve">) au plus tard le </w:t>
      </w:r>
      <w:r w:rsidR="0023254D">
        <w:rPr>
          <w:rFonts w:ascii="Calibri" w:eastAsia="Times New Roman" w:hAnsi="Calibri" w:cs="Calibri"/>
          <w:b/>
          <w:lang w:val="fr-CA" w:eastAsia="en-CA"/>
        </w:rPr>
        <w:t>30</w:t>
      </w:r>
      <w:r w:rsidR="006E54A6">
        <w:rPr>
          <w:rFonts w:ascii="Calibri" w:eastAsia="Times New Roman" w:hAnsi="Calibri" w:cs="Calibri"/>
          <w:b/>
          <w:lang w:val="fr-CA" w:eastAsia="en-CA"/>
        </w:rPr>
        <w:t> </w:t>
      </w:r>
      <w:r>
        <w:rPr>
          <w:rFonts w:ascii="Calibri" w:eastAsia="Times New Roman" w:hAnsi="Calibri" w:cs="Calibri"/>
          <w:b/>
          <w:lang w:val="fr-CA" w:eastAsia="en-CA"/>
        </w:rPr>
        <w:t>juillet.</w:t>
      </w:r>
      <w:bookmarkEnd w:id="1"/>
    </w:p>
    <w:p w14:paraId="69F7861A" w14:textId="77777777" w:rsidR="00D65AE9" w:rsidRDefault="00D65AE9" w:rsidP="00D65AE9">
      <w:pPr>
        <w:rPr>
          <w:b/>
        </w:rPr>
      </w:pPr>
    </w:p>
    <w:tbl>
      <w:tblPr>
        <w:tblStyle w:val="Grilledutableau1"/>
        <w:tblW w:w="9351" w:type="dxa"/>
        <w:tblLook w:val="04A0" w:firstRow="1" w:lastRow="0" w:firstColumn="1" w:lastColumn="0" w:noHBand="0" w:noVBand="1"/>
      </w:tblPr>
      <w:tblGrid>
        <w:gridCol w:w="1838"/>
        <w:gridCol w:w="7513"/>
      </w:tblGrid>
      <w:tr w:rsidR="00D65AE9" w:rsidRPr="005A0145" w14:paraId="54349D34" w14:textId="77777777" w:rsidTr="008373C3">
        <w:trPr>
          <w:trHeight w:val="432"/>
        </w:trPr>
        <w:tc>
          <w:tcPr>
            <w:tcW w:w="1838" w:type="dxa"/>
            <w:shd w:val="clear" w:color="auto" w:fill="D5DCE4" w:themeFill="text2" w:themeFillTint="33"/>
            <w:vAlign w:val="center"/>
          </w:tcPr>
          <w:p w14:paraId="57E08543" w14:textId="56D4F303" w:rsidR="00D65AE9" w:rsidRPr="005A0145" w:rsidRDefault="00D65AE9" w:rsidP="008373C3">
            <w:pPr>
              <w:rPr>
                <w:rFonts w:cs="Arial"/>
                <w:bCs/>
                <w:noProof/>
                <w:color w:val="000000" w:themeColor="text1"/>
              </w:rPr>
            </w:pPr>
            <w:permStart w:id="480006523" w:edGrp="everyone" w:colFirst="1" w:colLast="1"/>
            <w:r>
              <w:rPr>
                <w:rFonts w:cs="Arial"/>
                <w:bCs/>
                <w:noProof/>
                <w:color w:val="000000" w:themeColor="text1"/>
              </w:rPr>
              <w:t>Nom</w:t>
            </w:r>
          </w:p>
        </w:tc>
        <w:tc>
          <w:tcPr>
            <w:tcW w:w="7513" w:type="dxa"/>
            <w:vAlign w:val="center"/>
          </w:tcPr>
          <w:p w14:paraId="5B6531CE" w14:textId="77777777" w:rsidR="00D65AE9" w:rsidRPr="005A0145" w:rsidRDefault="00D65AE9" w:rsidP="008373C3">
            <w:pPr>
              <w:rPr>
                <w:rFonts w:cs="Arial"/>
                <w:bCs/>
                <w:noProof/>
                <w:color w:val="000000" w:themeColor="text1"/>
                <w:sz w:val="20"/>
                <w:szCs w:val="20"/>
              </w:rPr>
            </w:pPr>
          </w:p>
        </w:tc>
      </w:tr>
      <w:tr w:rsidR="00D65AE9" w:rsidRPr="005A0145" w14:paraId="58D45FA6" w14:textId="77777777" w:rsidTr="008373C3">
        <w:trPr>
          <w:trHeight w:val="432"/>
        </w:trPr>
        <w:tc>
          <w:tcPr>
            <w:tcW w:w="1838" w:type="dxa"/>
            <w:shd w:val="clear" w:color="auto" w:fill="D5DCE4" w:themeFill="text2" w:themeFillTint="33"/>
            <w:vAlign w:val="center"/>
          </w:tcPr>
          <w:p w14:paraId="017FA6EA" w14:textId="1A0F2153" w:rsidR="00D65AE9" w:rsidRPr="005A0145" w:rsidRDefault="00D65AE9" w:rsidP="008373C3">
            <w:pPr>
              <w:rPr>
                <w:rFonts w:cs="Arial"/>
                <w:bCs/>
                <w:noProof/>
                <w:color w:val="000000" w:themeColor="text1"/>
              </w:rPr>
            </w:pPr>
            <w:permStart w:id="1977107746" w:edGrp="everyone" w:colFirst="1" w:colLast="1"/>
            <w:permEnd w:id="480006523"/>
            <w:r>
              <w:rPr>
                <w:rFonts w:cs="Arial"/>
                <w:bCs/>
                <w:noProof/>
                <w:color w:val="000000" w:themeColor="text1"/>
              </w:rPr>
              <w:t>Organisation</w:t>
            </w:r>
          </w:p>
        </w:tc>
        <w:tc>
          <w:tcPr>
            <w:tcW w:w="7513" w:type="dxa"/>
            <w:vAlign w:val="center"/>
          </w:tcPr>
          <w:p w14:paraId="19331C60" w14:textId="77777777" w:rsidR="00D65AE9" w:rsidRPr="005A0145" w:rsidRDefault="00D65AE9" w:rsidP="008373C3">
            <w:pPr>
              <w:rPr>
                <w:rFonts w:cs="Arial"/>
                <w:bCs/>
                <w:noProof/>
                <w:color w:val="000000" w:themeColor="text1"/>
                <w:sz w:val="20"/>
                <w:szCs w:val="20"/>
              </w:rPr>
            </w:pPr>
          </w:p>
        </w:tc>
      </w:tr>
      <w:tr w:rsidR="00D65AE9" w:rsidRPr="005A0145" w14:paraId="771F44CA" w14:textId="77777777" w:rsidTr="008373C3">
        <w:trPr>
          <w:trHeight w:val="432"/>
        </w:trPr>
        <w:tc>
          <w:tcPr>
            <w:tcW w:w="1838" w:type="dxa"/>
            <w:shd w:val="clear" w:color="auto" w:fill="D5DCE4" w:themeFill="text2" w:themeFillTint="33"/>
            <w:vAlign w:val="center"/>
          </w:tcPr>
          <w:p w14:paraId="6666414D" w14:textId="4FE13C85" w:rsidR="00D65AE9" w:rsidRDefault="00D65AE9" w:rsidP="008373C3">
            <w:pPr>
              <w:rPr>
                <w:rFonts w:cs="Arial"/>
                <w:bCs/>
                <w:noProof/>
                <w:color w:val="000000" w:themeColor="text1"/>
              </w:rPr>
            </w:pPr>
            <w:permStart w:id="2083465795" w:edGrp="everyone" w:colFirst="1" w:colLast="1"/>
            <w:permEnd w:id="1977107746"/>
            <w:r>
              <w:rPr>
                <w:rFonts w:cs="Arial"/>
                <w:bCs/>
                <w:noProof/>
                <w:color w:val="000000" w:themeColor="text1"/>
              </w:rPr>
              <w:t>Courriel</w:t>
            </w:r>
          </w:p>
        </w:tc>
        <w:tc>
          <w:tcPr>
            <w:tcW w:w="7513" w:type="dxa"/>
            <w:vAlign w:val="center"/>
          </w:tcPr>
          <w:p w14:paraId="7BE40EF8" w14:textId="77777777" w:rsidR="00D65AE9" w:rsidRPr="005A0145" w:rsidRDefault="00D65AE9" w:rsidP="008373C3">
            <w:pPr>
              <w:rPr>
                <w:rFonts w:cs="Arial"/>
                <w:bCs/>
                <w:noProof/>
                <w:color w:val="000000" w:themeColor="text1"/>
                <w:sz w:val="20"/>
                <w:szCs w:val="20"/>
              </w:rPr>
            </w:pPr>
          </w:p>
        </w:tc>
      </w:tr>
      <w:permEnd w:id="2083465795"/>
    </w:tbl>
    <w:p w14:paraId="059EED9A" w14:textId="77777777" w:rsidR="00D65AE9" w:rsidRDefault="00D65AE9" w:rsidP="00D65AE9"/>
    <w:p w14:paraId="240561D8" w14:textId="77777777" w:rsidR="009E4611" w:rsidRPr="00520023" w:rsidRDefault="009E4611" w:rsidP="009E4611">
      <w:pPr>
        <w:rPr>
          <w:lang w:val="fr-CA"/>
        </w:rPr>
      </w:pPr>
    </w:p>
    <w:p w14:paraId="0B04A7DC" w14:textId="77777777" w:rsidR="00D65AE9" w:rsidRPr="00D65AE9" w:rsidRDefault="00D65AE9" w:rsidP="00D65AE9">
      <w:pPr>
        <w:spacing w:after="0" w:line="276" w:lineRule="auto"/>
        <w:rPr>
          <w:rFonts w:cs="Arial"/>
          <w:b/>
          <w:bCs/>
          <w:noProof/>
          <w:color w:val="000000" w:themeColor="text1"/>
          <w:u w:val="single"/>
          <w:lang w:val="fr-CA"/>
        </w:rPr>
      </w:pPr>
      <w:r w:rsidRPr="00D65AE9">
        <w:rPr>
          <w:rFonts w:cs="Arial"/>
          <w:b/>
          <w:bCs/>
          <w:noProof/>
          <w:color w:val="000000" w:themeColor="text1"/>
          <w:u w:val="single"/>
          <w:lang w:val="fr-CA"/>
        </w:rPr>
        <w:t>Question 1</w:t>
      </w:r>
    </w:p>
    <w:p w14:paraId="6EF67085" w14:textId="77777777" w:rsidR="00D65AE9" w:rsidRPr="00D65AE9" w:rsidRDefault="00D65AE9" w:rsidP="00D65AE9">
      <w:pPr>
        <w:spacing w:after="0" w:line="276" w:lineRule="auto"/>
        <w:rPr>
          <w:rFonts w:cs="Arial"/>
          <w:bCs/>
          <w:noProof/>
          <w:color w:val="000000" w:themeColor="text1"/>
          <w:lang w:val="fr-CA"/>
        </w:rPr>
      </w:pPr>
    </w:p>
    <w:p w14:paraId="76493961" w14:textId="4CA8489C" w:rsidR="00D65AE9" w:rsidRDefault="00D65AE9" w:rsidP="00D65AE9">
      <w:pPr>
        <w:spacing w:after="0" w:line="276" w:lineRule="auto"/>
        <w:rPr>
          <w:rFonts w:cs="Arial"/>
          <w:bCs/>
          <w:noProof/>
          <w:color w:val="000000" w:themeColor="text1"/>
          <w:lang w:val="fr-CA"/>
        </w:rPr>
      </w:pPr>
      <w:r w:rsidRPr="00D65AE9">
        <w:rPr>
          <w:rFonts w:cs="Arial"/>
          <w:bCs/>
          <w:noProof/>
          <w:color w:val="000000" w:themeColor="text1"/>
          <w:lang w:val="fr-CA"/>
        </w:rPr>
        <w:t>Veuillez fournir une liste des contaminants de l’air intérieur pour lesquels une limite d’exposition liée à la santé pourrait être bénéfique pour votre organisation. Vous trouverez ci-dessous une liste de contaminants qui pourraient être considérés pour l’établissement des priorités sur la base du risque pour la santé en raison de plusieurs facteurs, tels que l’identification d’évaluations internationales récentes, l’émergence de nouvelles données sur les effets sur la santé ou des indications d’une exposition accrue dans certaines situations. Vous pourriez vous servir de cette liste pour identifier des contaminants d’intérêt. Veuillez noter que vous n’êtes pas restreints à proposer des contaminants qui se trouvent dans cette liste. De plus, des renseignements sur l’usage potentiel de la ou des limites d’exposition liées à la santé seraient bienvenus, si possible.</w:t>
      </w:r>
    </w:p>
    <w:p w14:paraId="7F479513" w14:textId="77777777" w:rsidR="00D65AE9" w:rsidRPr="00D65AE9" w:rsidRDefault="00D65AE9" w:rsidP="00D65AE9">
      <w:pPr>
        <w:spacing w:after="0" w:line="276" w:lineRule="auto"/>
        <w:rPr>
          <w:rFonts w:cs="Arial"/>
          <w:bCs/>
          <w:noProof/>
          <w:color w:val="000000" w:themeColor="text1"/>
          <w:lang w:val="fr-CA"/>
        </w:rPr>
      </w:pPr>
    </w:p>
    <w:p w14:paraId="20DEEF7C" w14:textId="74FDE204" w:rsidR="00D65AE9" w:rsidRPr="002D776F" w:rsidRDefault="00D65AE9" w:rsidP="00D65AE9">
      <w:pPr>
        <w:spacing w:after="0" w:line="276" w:lineRule="auto"/>
        <w:rPr>
          <w:rFonts w:cs="Arial"/>
          <w:bCs/>
          <w:noProof/>
          <w:color w:val="000000" w:themeColor="text1"/>
        </w:rPr>
      </w:pPr>
      <w:r>
        <w:rPr>
          <w:rFonts w:cs="Arial"/>
          <w:bCs/>
          <w:noProof/>
          <w:color w:val="000000" w:themeColor="text1"/>
        </w:rPr>
        <w:t>Ré</w:t>
      </w:r>
      <w:r w:rsidRPr="002D776F">
        <w:rPr>
          <w:rFonts w:cs="Arial"/>
          <w:bCs/>
          <w:noProof/>
          <w:color w:val="000000" w:themeColor="text1"/>
        </w:rPr>
        <w:t>ponse:</w:t>
      </w:r>
    </w:p>
    <w:tbl>
      <w:tblPr>
        <w:tblStyle w:val="TableGrid"/>
        <w:tblW w:w="0" w:type="auto"/>
        <w:tblLook w:val="04A0" w:firstRow="1" w:lastRow="0" w:firstColumn="1" w:lastColumn="0" w:noHBand="0" w:noVBand="1"/>
      </w:tblPr>
      <w:tblGrid>
        <w:gridCol w:w="9350"/>
      </w:tblGrid>
      <w:tr w:rsidR="00D65AE9" w:rsidRPr="002D776F" w14:paraId="56821D59" w14:textId="77777777" w:rsidTr="008373C3">
        <w:trPr>
          <w:trHeight w:val="1063"/>
        </w:trPr>
        <w:tc>
          <w:tcPr>
            <w:tcW w:w="935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23962A83" w14:textId="77777777" w:rsidR="00D65AE9" w:rsidRPr="002D776F" w:rsidRDefault="00D65AE9" w:rsidP="008373C3">
            <w:pPr>
              <w:rPr>
                <w:rFonts w:cs="Arial"/>
                <w:bCs/>
                <w:noProof/>
                <w:color w:val="000000" w:themeColor="text1"/>
              </w:rPr>
            </w:pPr>
            <w:permStart w:id="128933810" w:edGrp="everyone" w:colFirst="0" w:colLast="0"/>
            <w:permStart w:id="2128835611" w:edGrp="everyone" w:colFirst="1" w:colLast="1"/>
          </w:p>
          <w:p w14:paraId="52E99B7C" w14:textId="77777777" w:rsidR="00D65AE9" w:rsidRDefault="00D65AE9" w:rsidP="008373C3">
            <w:pPr>
              <w:rPr>
                <w:rFonts w:cs="Arial"/>
                <w:bCs/>
                <w:noProof/>
                <w:color w:val="000000" w:themeColor="text1"/>
              </w:rPr>
            </w:pPr>
          </w:p>
          <w:p w14:paraId="66FED137" w14:textId="77777777" w:rsidR="00D65AE9" w:rsidRDefault="00D65AE9" w:rsidP="008373C3">
            <w:pPr>
              <w:rPr>
                <w:rFonts w:cs="Arial"/>
                <w:bCs/>
                <w:noProof/>
                <w:color w:val="000000" w:themeColor="text1"/>
              </w:rPr>
            </w:pPr>
          </w:p>
          <w:p w14:paraId="58AD1DC5" w14:textId="77777777" w:rsidR="00D65AE9" w:rsidRDefault="00D65AE9" w:rsidP="008373C3">
            <w:pPr>
              <w:rPr>
                <w:rFonts w:cs="Arial"/>
                <w:bCs/>
                <w:noProof/>
                <w:color w:val="000000" w:themeColor="text1"/>
              </w:rPr>
            </w:pPr>
          </w:p>
          <w:p w14:paraId="045BF2E6" w14:textId="77777777" w:rsidR="00D65AE9" w:rsidRPr="002D776F" w:rsidRDefault="00D65AE9" w:rsidP="008373C3">
            <w:pPr>
              <w:rPr>
                <w:rFonts w:cs="Arial"/>
                <w:bCs/>
                <w:noProof/>
                <w:color w:val="000000" w:themeColor="text1"/>
              </w:rPr>
            </w:pPr>
          </w:p>
        </w:tc>
      </w:tr>
      <w:permEnd w:id="128933810"/>
      <w:permEnd w:id="2128835611"/>
    </w:tbl>
    <w:p w14:paraId="779E817E" w14:textId="77777777" w:rsidR="00AB7D7A" w:rsidRDefault="00AB7D7A" w:rsidP="009D55BB">
      <w:pPr>
        <w:rPr>
          <w:lang w:val="fr-CA"/>
        </w:rPr>
      </w:pPr>
    </w:p>
    <w:p w14:paraId="5E2F90D1" w14:textId="77777777" w:rsidR="00D65AE9" w:rsidRPr="00D65AE9" w:rsidRDefault="00D65AE9" w:rsidP="00D65AE9">
      <w:pPr>
        <w:rPr>
          <w:b/>
          <w:u w:val="single"/>
          <w:lang w:val="fr-CA"/>
        </w:rPr>
      </w:pPr>
      <w:r w:rsidRPr="00D65AE9">
        <w:rPr>
          <w:b/>
          <w:u w:val="single"/>
          <w:lang w:val="fr-CA"/>
        </w:rPr>
        <w:t>Question 2</w:t>
      </w:r>
    </w:p>
    <w:p w14:paraId="7DDF15B3" w14:textId="5BF5D0A8" w:rsidR="00B75FD5" w:rsidRDefault="00D65AE9" w:rsidP="00D65AE9">
      <w:pPr>
        <w:rPr>
          <w:lang w:val="fr-CA"/>
        </w:rPr>
      </w:pPr>
      <w:r w:rsidRPr="00D65AE9">
        <w:rPr>
          <w:lang w:val="fr-CA"/>
        </w:rPr>
        <w:t xml:space="preserve">Le Programme sur la qualité de l’air intérieur de Santé Canada a élaboré, dans le passé, une orientation pour les espaces intérieurs non résidentiels (c’est-à-dire publics), comme les </w:t>
      </w:r>
      <w:hyperlink r:id="rId11" w:history="1">
        <w:r w:rsidRPr="00D65AE9">
          <w:rPr>
            <w:rStyle w:val="Hyperlink"/>
            <w:lang w:val="fr-CA"/>
          </w:rPr>
          <w:t>arénas</w:t>
        </w:r>
      </w:hyperlink>
      <w:r w:rsidRPr="00D65AE9">
        <w:rPr>
          <w:lang w:val="fr-CA"/>
        </w:rPr>
        <w:t xml:space="preserve"> et les </w:t>
      </w:r>
      <w:hyperlink r:id="rId12" w:history="1">
        <w:r w:rsidRPr="00D65AE9">
          <w:rPr>
            <w:rStyle w:val="Hyperlink"/>
            <w:lang w:val="fr-CA"/>
          </w:rPr>
          <w:t>espaces antifumée</w:t>
        </w:r>
      </w:hyperlink>
      <w:r w:rsidRPr="00D65AE9">
        <w:rPr>
          <w:lang w:val="fr-CA"/>
        </w:rPr>
        <w:t xml:space="preserve"> (les abris utilisés pendant les épisodes de fumée de feux de forêt). Y a-t-il d’autres espaces intérieurs non résidentiels qui devraient être priorisés lors de l’élaboration d’enquêtes ou d’orientations futures, du point de vue de la qualité de l’air intérieur et de la santé?</w:t>
      </w:r>
    </w:p>
    <w:p w14:paraId="2088D0E1" w14:textId="77777777" w:rsidR="00D65AE9" w:rsidRPr="002D776F" w:rsidRDefault="00D65AE9" w:rsidP="00D65AE9">
      <w:pPr>
        <w:spacing w:after="0" w:line="276" w:lineRule="auto"/>
        <w:rPr>
          <w:rFonts w:cs="Arial"/>
          <w:bCs/>
          <w:noProof/>
          <w:color w:val="000000" w:themeColor="text1"/>
        </w:rPr>
      </w:pPr>
      <w:r>
        <w:rPr>
          <w:rFonts w:cs="Arial"/>
          <w:bCs/>
          <w:noProof/>
          <w:color w:val="000000" w:themeColor="text1"/>
        </w:rPr>
        <w:t>Ré</w:t>
      </w:r>
      <w:r w:rsidRPr="002D776F">
        <w:rPr>
          <w:rFonts w:cs="Arial"/>
          <w:bCs/>
          <w:noProof/>
          <w:color w:val="000000" w:themeColor="text1"/>
        </w:rPr>
        <w:t>ponse:</w:t>
      </w:r>
    </w:p>
    <w:tbl>
      <w:tblPr>
        <w:tblStyle w:val="TableGrid"/>
        <w:tblW w:w="0" w:type="auto"/>
        <w:tblLook w:val="04A0" w:firstRow="1" w:lastRow="0" w:firstColumn="1" w:lastColumn="0" w:noHBand="0" w:noVBand="1"/>
      </w:tblPr>
      <w:tblGrid>
        <w:gridCol w:w="9350"/>
      </w:tblGrid>
      <w:tr w:rsidR="00D65AE9" w:rsidRPr="002D776F" w14:paraId="0EAD4189" w14:textId="77777777" w:rsidTr="008373C3">
        <w:trPr>
          <w:trHeight w:val="1063"/>
        </w:trPr>
        <w:tc>
          <w:tcPr>
            <w:tcW w:w="935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3BC20DF2" w14:textId="77777777" w:rsidR="00D65AE9" w:rsidRPr="002D776F" w:rsidRDefault="00D65AE9" w:rsidP="008373C3">
            <w:pPr>
              <w:rPr>
                <w:rFonts w:cs="Arial"/>
                <w:bCs/>
                <w:noProof/>
                <w:color w:val="000000" w:themeColor="text1"/>
              </w:rPr>
            </w:pPr>
            <w:permStart w:id="1055727408" w:edGrp="everyone" w:colFirst="0" w:colLast="0"/>
            <w:permStart w:id="138170533" w:edGrp="everyone" w:colFirst="1" w:colLast="1"/>
          </w:p>
          <w:p w14:paraId="1E9DDE53" w14:textId="77777777" w:rsidR="00D65AE9" w:rsidRDefault="00D65AE9" w:rsidP="008373C3">
            <w:pPr>
              <w:rPr>
                <w:rFonts w:cs="Arial"/>
                <w:bCs/>
                <w:noProof/>
                <w:color w:val="000000" w:themeColor="text1"/>
              </w:rPr>
            </w:pPr>
          </w:p>
          <w:p w14:paraId="2966CEBA" w14:textId="77777777" w:rsidR="00D65AE9" w:rsidRDefault="00D65AE9" w:rsidP="008373C3">
            <w:pPr>
              <w:rPr>
                <w:rFonts w:cs="Arial"/>
                <w:bCs/>
                <w:noProof/>
                <w:color w:val="000000" w:themeColor="text1"/>
              </w:rPr>
            </w:pPr>
          </w:p>
          <w:p w14:paraId="68156E5D" w14:textId="77777777" w:rsidR="00D65AE9" w:rsidRDefault="00D65AE9" w:rsidP="008373C3">
            <w:pPr>
              <w:rPr>
                <w:rFonts w:cs="Arial"/>
                <w:bCs/>
                <w:noProof/>
                <w:color w:val="000000" w:themeColor="text1"/>
              </w:rPr>
            </w:pPr>
          </w:p>
          <w:p w14:paraId="1937D9DA" w14:textId="77777777" w:rsidR="00D65AE9" w:rsidRPr="002D776F" w:rsidRDefault="00D65AE9" w:rsidP="008373C3">
            <w:pPr>
              <w:rPr>
                <w:rFonts w:cs="Arial"/>
                <w:bCs/>
                <w:noProof/>
                <w:color w:val="000000" w:themeColor="text1"/>
              </w:rPr>
            </w:pPr>
          </w:p>
        </w:tc>
      </w:tr>
      <w:permEnd w:id="1055727408"/>
      <w:permEnd w:id="138170533"/>
    </w:tbl>
    <w:p w14:paraId="2FE44387" w14:textId="77777777" w:rsidR="00D65AE9" w:rsidRDefault="00D65AE9" w:rsidP="00A91C80">
      <w:pPr>
        <w:rPr>
          <w:lang w:val="fr-CA"/>
        </w:rPr>
      </w:pPr>
    </w:p>
    <w:p w14:paraId="50744E21" w14:textId="77777777" w:rsidR="00D65AE9" w:rsidRPr="00D65AE9" w:rsidRDefault="00D65AE9" w:rsidP="00D65AE9">
      <w:pPr>
        <w:rPr>
          <w:b/>
          <w:u w:val="single"/>
          <w:lang w:val="fr-CA"/>
        </w:rPr>
      </w:pPr>
      <w:r w:rsidRPr="00D65AE9">
        <w:rPr>
          <w:b/>
          <w:u w:val="single"/>
          <w:lang w:val="fr-CA"/>
        </w:rPr>
        <w:t>Question 3</w:t>
      </w:r>
    </w:p>
    <w:p w14:paraId="72506936" w14:textId="18E638C2" w:rsidR="00B75FD5" w:rsidRDefault="00D65AE9" w:rsidP="00D65AE9">
      <w:pPr>
        <w:rPr>
          <w:lang w:val="fr-CA"/>
        </w:rPr>
      </w:pPr>
      <w:r w:rsidRPr="00D65AE9">
        <w:rPr>
          <w:lang w:val="fr-CA"/>
        </w:rPr>
        <w:t>Veuillez présenter tout autre enjeu relatif à la qualité de l’air intérieur qui devrait être une priorité pour Santé Canada selon vous (certains comportements qui pourraient générer des contaminants de l’air intérieur, par exemple). Il serait également apprécié que vous expliquiez la raison pour laquelle vous croyez que cet enjeu est une priorité et la façon par laquelle Santé Canada pourrait l’aborder (par exemple, plus de recherche, élaboration d’orientations, publication de documents de communication à l’intention du grand public).</w:t>
      </w:r>
    </w:p>
    <w:p w14:paraId="21EAB79E" w14:textId="77777777" w:rsidR="00BB6A0F" w:rsidRDefault="00BB6A0F" w:rsidP="00D65AE9">
      <w:pPr>
        <w:spacing w:after="0" w:line="276" w:lineRule="auto"/>
        <w:rPr>
          <w:rFonts w:cs="Arial"/>
          <w:bCs/>
          <w:noProof/>
          <w:color w:val="000000" w:themeColor="text1"/>
        </w:rPr>
      </w:pPr>
    </w:p>
    <w:p w14:paraId="5B7DC138" w14:textId="77777777" w:rsidR="00D65AE9" w:rsidRPr="002D776F" w:rsidRDefault="00D65AE9" w:rsidP="00D65AE9">
      <w:pPr>
        <w:spacing w:after="0" w:line="276" w:lineRule="auto"/>
        <w:rPr>
          <w:rFonts w:cs="Arial"/>
          <w:bCs/>
          <w:noProof/>
          <w:color w:val="000000" w:themeColor="text1"/>
        </w:rPr>
      </w:pPr>
      <w:r>
        <w:rPr>
          <w:rFonts w:cs="Arial"/>
          <w:bCs/>
          <w:noProof/>
          <w:color w:val="000000" w:themeColor="text1"/>
        </w:rPr>
        <w:t>Ré</w:t>
      </w:r>
      <w:r w:rsidRPr="002D776F">
        <w:rPr>
          <w:rFonts w:cs="Arial"/>
          <w:bCs/>
          <w:noProof/>
          <w:color w:val="000000" w:themeColor="text1"/>
        </w:rPr>
        <w:t>ponse:</w:t>
      </w:r>
    </w:p>
    <w:tbl>
      <w:tblPr>
        <w:tblStyle w:val="TableGrid"/>
        <w:tblW w:w="0" w:type="auto"/>
        <w:tblLook w:val="04A0" w:firstRow="1" w:lastRow="0" w:firstColumn="1" w:lastColumn="0" w:noHBand="0" w:noVBand="1"/>
      </w:tblPr>
      <w:tblGrid>
        <w:gridCol w:w="9350"/>
      </w:tblGrid>
      <w:tr w:rsidR="00D65AE9" w:rsidRPr="002D776F" w14:paraId="12693C42" w14:textId="77777777" w:rsidTr="008373C3">
        <w:trPr>
          <w:trHeight w:val="1063"/>
        </w:trPr>
        <w:tc>
          <w:tcPr>
            <w:tcW w:w="935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026A715E" w14:textId="77777777" w:rsidR="00D65AE9" w:rsidRPr="002D776F" w:rsidRDefault="00D65AE9" w:rsidP="008373C3">
            <w:pPr>
              <w:rPr>
                <w:rFonts w:cs="Arial"/>
                <w:bCs/>
                <w:noProof/>
                <w:color w:val="000000" w:themeColor="text1"/>
              </w:rPr>
            </w:pPr>
            <w:permStart w:id="691278309" w:edGrp="everyone" w:colFirst="0" w:colLast="0"/>
            <w:permStart w:id="1402824886" w:edGrp="everyone" w:colFirst="1" w:colLast="1"/>
          </w:p>
          <w:p w14:paraId="488BC577" w14:textId="77777777" w:rsidR="00D65AE9" w:rsidRDefault="00D65AE9" w:rsidP="008373C3">
            <w:pPr>
              <w:rPr>
                <w:rFonts w:cs="Arial"/>
                <w:bCs/>
                <w:noProof/>
                <w:color w:val="000000" w:themeColor="text1"/>
              </w:rPr>
            </w:pPr>
          </w:p>
          <w:p w14:paraId="3523476A" w14:textId="77777777" w:rsidR="00D65AE9" w:rsidRDefault="00D65AE9" w:rsidP="008373C3">
            <w:pPr>
              <w:rPr>
                <w:rFonts w:cs="Arial"/>
                <w:bCs/>
                <w:noProof/>
                <w:color w:val="000000" w:themeColor="text1"/>
              </w:rPr>
            </w:pPr>
          </w:p>
          <w:p w14:paraId="25778E8B" w14:textId="77777777" w:rsidR="00D65AE9" w:rsidRDefault="00D65AE9" w:rsidP="008373C3">
            <w:pPr>
              <w:rPr>
                <w:rFonts w:cs="Arial"/>
                <w:bCs/>
                <w:noProof/>
                <w:color w:val="000000" w:themeColor="text1"/>
              </w:rPr>
            </w:pPr>
          </w:p>
          <w:p w14:paraId="76A42696" w14:textId="77777777" w:rsidR="00D65AE9" w:rsidRPr="002D776F" w:rsidRDefault="00D65AE9" w:rsidP="008373C3">
            <w:pPr>
              <w:rPr>
                <w:rFonts w:cs="Arial"/>
                <w:bCs/>
                <w:noProof/>
                <w:color w:val="000000" w:themeColor="text1"/>
              </w:rPr>
            </w:pPr>
          </w:p>
        </w:tc>
      </w:tr>
      <w:permEnd w:id="691278309"/>
      <w:permEnd w:id="1402824886"/>
    </w:tbl>
    <w:p w14:paraId="713D65F8" w14:textId="77777777" w:rsidR="00D65AE9" w:rsidRPr="00E34556" w:rsidRDefault="00D65AE9" w:rsidP="00F7705C">
      <w:pPr>
        <w:rPr>
          <w:lang w:val="fr-CA"/>
        </w:rPr>
      </w:pPr>
    </w:p>
    <w:p w14:paraId="78DE9583" w14:textId="61D216AD" w:rsidR="00F7705C" w:rsidRPr="00C7634A" w:rsidRDefault="00C7634A" w:rsidP="00F7705C">
      <w:pPr>
        <w:rPr>
          <w:lang w:val="fr-CA"/>
        </w:rPr>
      </w:pPr>
      <w:r w:rsidRPr="00C7634A">
        <w:rPr>
          <w:lang w:val="fr-CA"/>
        </w:rPr>
        <w:t xml:space="preserve">Si vous avez </w:t>
      </w:r>
      <w:r w:rsidR="006E54A6">
        <w:rPr>
          <w:lang w:val="fr-CA"/>
        </w:rPr>
        <w:t>d’</w:t>
      </w:r>
      <w:r w:rsidRPr="00C7634A">
        <w:rPr>
          <w:lang w:val="fr-CA"/>
        </w:rPr>
        <w:t>autre</w:t>
      </w:r>
      <w:r w:rsidR="006E54A6">
        <w:rPr>
          <w:lang w:val="fr-CA"/>
        </w:rPr>
        <w:t>s</w:t>
      </w:r>
      <w:r w:rsidRPr="00C7634A">
        <w:rPr>
          <w:lang w:val="fr-CA"/>
        </w:rPr>
        <w:t xml:space="preserve"> </w:t>
      </w:r>
      <w:r w:rsidR="006E54A6">
        <w:rPr>
          <w:lang w:val="fr-CA"/>
        </w:rPr>
        <w:t>questions ou commentaires</w:t>
      </w:r>
      <w:r w:rsidRPr="00C7634A">
        <w:rPr>
          <w:lang w:val="fr-CA"/>
        </w:rPr>
        <w:t>, n’hé</w:t>
      </w:r>
      <w:r>
        <w:rPr>
          <w:lang w:val="fr-CA"/>
        </w:rPr>
        <w:t>si</w:t>
      </w:r>
      <w:r w:rsidRPr="00C7634A">
        <w:rPr>
          <w:lang w:val="fr-CA"/>
        </w:rPr>
        <w:t>tez pas à nous les</w:t>
      </w:r>
      <w:r>
        <w:rPr>
          <w:lang w:val="fr-CA"/>
        </w:rPr>
        <w:t xml:space="preserve"> communiquer.</w:t>
      </w:r>
    </w:p>
    <w:p w14:paraId="084B8A6C" w14:textId="629F040F" w:rsidR="00C7634A" w:rsidRPr="00C7634A" w:rsidRDefault="00C7634A" w:rsidP="007C3664">
      <w:pPr>
        <w:rPr>
          <w:lang w:val="fr-CA"/>
        </w:rPr>
      </w:pPr>
      <w:r w:rsidRPr="00C7634A">
        <w:rPr>
          <w:lang w:val="fr-CA"/>
        </w:rPr>
        <w:t>Merci de</w:t>
      </w:r>
      <w:r w:rsidRPr="00BC1206">
        <w:rPr>
          <w:lang w:val="fr-CA"/>
        </w:rPr>
        <w:t xml:space="preserve"> prendre</w:t>
      </w:r>
      <w:r w:rsidRPr="00C7634A">
        <w:rPr>
          <w:lang w:val="fr-CA"/>
        </w:rPr>
        <w:t xml:space="preserve"> l</w:t>
      </w:r>
      <w:r>
        <w:rPr>
          <w:lang w:val="fr-CA"/>
        </w:rPr>
        <w:t>e temps de nous faire part de vos domaines d’intérêt.</w:t>
      </w:r>
    </w:p>
    <w:p w14:paraId="3DFF50BE" w14:textId="77777777" w:rsidR="00056991" w:rsidRPr="00C7634A" w:rsidRDefault="00056991" w:rsidP="007C3664">
      <w:pPr>
        <w:rPr>
          <w:lang w:val="fr-CA"/>
        </w:rPr>
      </w:pPr>
    </w:p>
    <w:p w14:paraId="6CEBFB40" w14:textId="3EE24939" w:rsidR="007C3664" w:rsidRPr="00D65AE9" w:rsidRDefault="009D0481">
      <w:pPr>
        <w:rPr>
          <w:b/>
          <w:u w:val="single"/>
          <w:lang w:val="fr-CA"/>
        </w:rPr>
      </w:pPr>
      <w:r w:rsidRPr="00D65AE9">
        <w:rPr>
          <w:b/>
          <w:u w:val="single"/>
          <w:lang w:val="fr-CA"/>
        </w:rPr>
        <w:t>Liste de contaminants de l’air intérieur</w:t>
      </w:r>
    </w:p>
    <w:tbl>
      <w:tblPr>
        <w:tblStyle w:val="TableGrid"/>
        <w:tblW w:w="0" w:type="auto"/>
        <w:tblLook w:val="04A0" w:firstRow="1" w:lastRow="0" w:firstColumn="1" w:lastColumn="0" w:noHBand="0" w:noVBand="1"/>
      </w:tblPr>
      <w:tblGrid>
        <w:gridCol w:w="4957"/>
      </w:tblGrid>
      <w:tr w:rsidR="00056991" w:rsidRPr="00056991" w14:paraId="61E9A848" w14:textId="77777777" w:rsidTr="00056991">
        <w:trPr>
          <w:trHeight w:val="290"/>
        </w:trPr>
        <w:tc>
          <w:tcPr>
            <w:tcW w:w="4957" w:type="dxa"/>
            <w:hideMark/>
          </w:tcPr>
          <w:p w14:paraId="18752A6F" w14:textId="69E80B95" w:rsidR="00056991" w:rsidRPr="00056991" w:rsidRDefault="00F72F9D">
            <w:r>
              <w:t>1,3-</w:t>
            </w:r>
            <w:r w:rsidR="00202DC5">
              <w:t>B</w:t>
            </w:r>
            <w:r w:rsidR="009D0481">
              <w:t>utadiène</w:t>
            </w:r>
          </w:p>
        </w:tc>
      </w:tr>
      <w:tr w:rsidR="00710A69" w:rsidRPr="00710A69" w14:paraId="32C515C7" w14:textId="77777777" w:rsidTr="00056991">
        <w:trPr>
          <w:trHeight w:val="290"/>
        </w:trPr>
        <w:tc>
          <w:tcPr>
            <w:tcW w:w="4957" w:type="dxa"/>
            <w:hideMark/>
          </w:tcPr>
          <w:p w14:paraId="5BE9C8B1" w14:textId="061137E9" w:rsidR="00056991" w:rsidRPr="00710A69" w:rsidRDefault="00056991">
            <w:pPr>
              <w:rPr>
                <w:lang w:val="fr-CA"/>
              </w:rPr>
            </w:pPr>
            <w:r w:rsidRPr="00710A69">
              <w:rPr>
                <w:lang w:val="fr-CA"/>
              </w:rPr>
              <w:t>1,4-</w:t>
            </w:r>
            <w:r w:rsidR="00EA6FEC">
              <w:rPr>
                <w:lang w:val="fr-CA"/>
              </w:rPr>
              <w:t>D</w:t>
            </w:r>
            <w:r w:rsidRPr="00710A69">
              <w:rPr>
                <w:lang w:val="fr-CA"/>
              </w:rPr>
              <w:t>ichlorobenz</w:t>
            </w:r>
            <w:r w:rsidR="00710A69" w:rsidRPr="00710A69">
              <w:rPr>
                <w:lang w:val="fr-CA"/>
              </w:rPr>
              <w:t>è</w:t>
            </w:r>
            <w:r w:rsidRPr="00710A69">
              <w:rPr>
                <w:lang w:val="fr-CA"/>
              </w:rPr>
              <w:t>ne</w:t>
            </w:r>
          </w:p>
        </w:tc>
      </w:tr>
      <w:tr w:rsidR="00710A69" w:rsidRPr="00D65AE9" w14:paraId="5675CD3D" w14:textId="77777777" w:rsidTr="00056991">
        <w:trPr>
          <w:trHeight w:val="314"/>
        </w:trPr>
        <w:tc>
          <w:tcPr>
            <w:tcW w:w="4957" w:type="dxa"/>
            <w:hideMark/>
          </w:tcPr>
          <w:p w14:paraId="4DE14736" w14:textId="5D9AA4E2" w:rsidR="00056991" w:rsidRPr="00B1012F" w:rsidRDefault="00B1012F">
            <w:pPr>
              <w:rPr>
                <w:color w:val="5B9BD5" w:themeColor="accent1"/>
                <w:lang w:val="fr-CA"/>
              </w:rPr>
            </w:pPr>
            <w:r w:rsidRPr="00B1012F">
              <w:rPr>
                <w:lang w:val="fr-CA"/>
              </w:rPr>
              <w:t>3-</w:t>
            </w:r>
            <w:r w:rsidR="0062473F">
              <w:rPr>
                <w:lang w:val="fr-CA"/>
              </w:rPr>
              <w:t>C</w:t>
            </w:r>
            <w:r w:rsidRPr="00B1012F">
              <w:rPr>
                <w:lang w:val="fr-CA"/>
              </w:rPr>
              <w:t xml:space="preserve">hloroprop-1-ène (chlorure d’allyle, </w:t>
            </w:r>
            <w:r w:rsidR="00056991" w:rsidRPr="00B1012F">
              <w:rPr>
                <w:lang w:val="fr-CA"/>
              </w:rPr>
              <w:t>3-chloroprop</w:t>
            </w:r>
            <w:r w:rsidRPr="00B1012F">
              <w:rPr>
                <w:lang w:val="fr-CA"/>
              </w:rPr>
              <w:t>è</w:t>
            </w:r>
            <w:r w:rsidR="00056991" w:rsidRPr="00B1012F">
              <w:rPr>
                <w:lang w:val="fr-CA"/>
              </w:rPr>
              <w:t>ne)</w:t>
            </w:r>
          </w:p>
        </w:tc>
      </w:tr>
      <w:tr w:rsidR="00710A69" w:rsidRPr="00D65AE9" w14:paraId="064F8D40" w14:textId="77777777" w:rsidTr="00056991">
        <w:trPr>
          <w:trHeight w:val="277"/>
        </w:trPr>
        <w:tc>
          <w:tcPr>
            <w:tcW w:w="4957" w:type="dxa"/>
            <w:hideMark/>
          </w:tcPr>
          <w:p w14:paraId="004F8936" w14:textId="10B457A2" w:rsidR="00056991" w:rsidRPr="00202DC5" w:rsidRDefault="00056991">
            <w:pPr>
              <w:rPr>
                <w:lang w:val="fr-CA"/>
              </w:rPr>
            </w:pPr>
            <w:r w:rsidRPr="00202DC5">
              <w:rPr>
                <w:lang w:val="fr-CA"/>
              </w:rPr>
              <w:t>2-</w:t>
            </w:r>
            <w:r w:rsidR="00E80D5E">
              <w:rPr>
                <w:lang w:val="fr-CA"/>
              </w:rPr>
              <w:t>B</w:t>
            </w:r>
            <w:r w:rsidRPr="00202DC5">
              <w:rPr>
                <w:lang w:val="fr-CA"/>
              </w:rPr>
              <w:t>utoxy</w:t>
            </w:r>
            <w:r w:rsidR="00202DC5" w:rsidRPr="00202DC5">
              <w:rPr>
                <w:lang w:val="fr-CA"/>
              </w:rPr>
              <w:t>é</w:t>
            </w:r>
            <w:r w:rsidRPr="00202DC5">
              <w:rPr>
                <w:lang w:val="fr-CA"/>
              </w:rPr>
              <w:t>thanol (</w:t>
            </w:r>
            <w:r w:rsidR="00202DC5" w:rsidRPr="00202DC5">
              <w:rPr>
                <w:lang w:val="fr-CA"/>
              </w:rPr>
              <w:t>éther mono-butylique d’éthylèneglycol)</w:t>
            </w:r>
          </w:p>
        </w:tc>
      </w:tr>
      <w:tr w:rsidR="00710A69" w:rsidRPr="00710A69" w14:paraId="2322BE3F" w14:textId="77777777" w:rsidTr="00056991">
        <w:trPr>
          <w:trHeight w:val="290"/>
        </w:trPr>
        <w:tc>
          <w:tcPr>
            <w:tcW w:w="4957" w:type="dxa"/>
            <w:noWrap/>
            <w:hideMark/>
          </w:tcPr>
          <w:p w14:paraId="34EA7F4F" w14:textId="055A1274" w:rsidR="00056991" w:rsidRPr="00710A69" w:rsidRDefault="00202DC5">
            <w:pPr>
              <w:rPr>
                <w:color w:val="5B9BD5" w:themeColor="accent1"/>
                <w:lang w:val="fr-CA"/>
              </w:rPr>
            </w:pPr>
            <w:r>
              <w:rPr>
                <w:lang w:val="fr-CA"/>
              </w:rPr>
              <w:t>A</w:t>
            </w:r>
            <w:r w:rsidR="00056991" w:rsidRPr="00202DC5">
              <w:rPr>
                <w:lang w:val="fr-CA"/>
              </w:rPr>
              <w:t>mmonia</w:t>
            </w:r>
            <w:r w:rsidRPr="00202DC5">
              <w:rPr>
                <w:lang w:val="fr-CA"/>
              </w:rPr>
              <w:t>que</w:t>
            </w:r>
          </w:p>
        </w:tc>
      </w:tr>
      <w:tr w:rsidR="00710A69" w:rsidRPr="00710A69" w14:paraId="3D84AB6E" w14:textId="77777777" w:rsidTr="00056991">
        <w:trPr>
          <w:trHeight w:val="290"/>
        </w:trPr>
        <w:tc>
          <w:tcPr>
            <w:tcW w:w="4957" w:type="dxa"/>
            <w:noWrap/>
            <w:hideMark/>
          </w:tcPr>
          <w:p w14:paraId="06E9418E" w14:textId="0C188EBF" w:rsidR="00056991" w:rsidRPr="00710A69" w:rsidRDefault="00202DC5">
            <w:pPr>
              <w:rPr>
                <w:color w:val="5B9BD5" w:themeColor="accent1"/>
                <w:lang w:val="fr-CA"/>
              </w:rPr>
            </w:pPr>
            <w:r>
              <w:rPr>
                <w:lang w:val="fr-CA"/>
              </w:rPr>
              <w:t>A</w:t>
            </w:r>
            <w:r w:rsidR="00056991" w:rsidRPr="00202DC5">
              <w:rPr>
                <w:lang w:val="fr-CA"/>
              </w:rPr>
              <w:t>niline</w:t>
            </w:r>
          </w:p>
        </w:tc>
      </w:tr>
      <w:tr w:rsidR="00710A69" w:rsidRPr="00710A69" w14:paraId="253DAE36" w14:textId="77777777" w:rsidTr="00056991">
        <w:trPr>
          <w:trHeight w:val="290"/>
        </w:trPr>
        <w:tc>
          <w:tcPr>
            <w:tcW w:w="4957" w:type="dxa"/>
            <w:hideMark/>
          </w:tcPr>
          <w:p w14:paraId="25B17E0E" w14:textId="307115D1" w:rsidR="00056991" w:rsidRPr="00710A69" w:rsidRDefault="00202DC5">
            <w:pPr>
              <w:rPr>
                <w:color w:val="5B9BD5" w:themeColor="accent1"/>
                <w:lang w:val="fr-CA"/>
              </w:rPr>
            </w:pPr>
            <w:r>
              <w:rPr>
                <w:lang w:val="fr-CA"/>
              </w:rPr>
              <w:t>Alpha-pinène</w:t>
            </w:r>
          </w:p>
        </w:tc>
      </w:tr>
      <w:tr w:rsidR="00710A69" w:rsidRPr="00D65AE9" w14:paraId="254F9198" w14:textId="77777777" w:rsidTr="00056991">
        <w:trPr>
          <w:trHeight w:val="290"/>
        </w:trPr>
        <w:tc>
          <w:tcPr>
            <w:tcW w:w="4957" w:type="dxa"/>
            <w:noWrap/>
            <w:hideMark/>
          </w:tcPr>
          <w:p w14:paraId="4A512043" w14:textId="10971C03" w:rsidR="00056991" w:rsidRPr="00D95AFC" w:rsidRDefault="00202DC5">
            <w:pPr>
              <w:rPr>
                <w:color w:val="5B9BD5" w:themeColor="accent1"/>
                <w:lang w:val="es-ES"/>
              </w:rPr>
            </w:pPr>
            <w:r w:rsidRPr="00D95AFC">
              <w:rPr>
                <w:lang w:val="es-ES"/>
              </w:rPr>
              <w:t>Phtalate de dibutyl</w:t>
            </w:r>
            <w:r w:rsidR="004C2B5D">
              <w:rPr>
                <w:lang w:val="es-ES"/>
              </w:rPr>
              <w:t>e</w:t>
            </w:r>
            <w:r w:rsidR="00056991" w:rsidRPr="00D95AFC">
              <w:rPr>
                <w:lang w:val="es-ES"/>
              </w:rPr>
              <w:t xml:space="preserve"> (DiBP, DnBP)</w:t>
            </w:r>
          </w:p>
        </w:tc>
      </w:tr>
      <w:tr w:rsidR="00710A69" w:rsidRPr="00710A69" w14:paraId="7567556B" w14:textId="77777777" w:rsidTr="00056991">
        <w:trPr>
          <w:trHeight w:val="290"/>
        </w:trPr>
        <w:tc>
          <w:tcPr>
            <w:tcW w:w="4957" w:type="dxa"/>
            <w:hideMark/>
          </w:tcPr>
          <w:p w14:paraId="7891333B" w14:textId="71D60B68" w:rsidR="00056991" w:rsidRPr="007E6ECF" w:rsidRDefault="00056991">
            <w:pPr>
              <w:rPr>
                <w:lang w:val="fr-CA"/>
              </w:rPr>
            </w:pPr>
            <w:r w:rsidRPr="007E6ECF">
              <w:rPr>
                <w:lang w:val="fr-CA"/>
              </w:rPr>
              <w:t>Dichlorom</w:t>
            </w:r>
            <w:r w:rsidR="007E6ECF" w:rsidRPr="007E6ECF">
              <w:rPr>
                <w:lang w:val="fr-CA"/>
              </w:rPr>
              <w:t>é</w:t>
            </w:r>
            <w:r w:rsidRPr="007E6ECF">
              <w:rPr>
                <w:lang w:val="fr-CA"/>
              </w:rPr>
              <w:t>thane (</w:t>
            </w:r>
            <w:r w:rsidR="007E6ECF">
              <w:rPr>
                <w:lang w:val="fr-CA"/>
              </w:rPr>
              <w:t>dichlorure de méthylène</w:t>
            </w:r>
            <w:r w:rsidRPr="007E6ECF">
              <w:rPr>
                <w:lang w:val="fr-CA"/>
              </w:rPr>
              <w:t>)</w:t>
            </w:r>
          </w:p>
        </w:tc>
      </w:tr>
      <w:tr w:rsidR="00710A69" w:rsidRPr="00710A69" w14:paraId="23A45161" w14:textId="77777777" w:rsidTr="00056991">
        <w:trPr>
          <w:trHeight w:val="290"/>
        </w:trPr>
        <w:tc>
          <w:tcPr>
            <w:tcW w:w="4957" w:type="dxa"/>
            <w:hideMark/>
          </w:tcPr>
          <w:p w14:paraId="1844D4CC" w14:textId="71929A0C" w:rsidR="00056991" w:rsidRPr="00710A69" w:rsidRDefault="00056991">
            <w:pPr>
              <w:rPr>
                <w:color w:val="5B9BD5" w:themeColor="accent1"/>
                <w:lang w:val="fr-CA"/>
              </w:rPr>
            </w:pPr>
            <w:r w:rsidRPr="007E6ECF">
              <w:rPr>
                <w:lang w:val="fr-CA"/>
              </w:rPr>
              <w:t>d-</w:t>
            </w:r>
            <w:r w:rsidR="006C0784">
              <w:rPr>
                <w:lang w:val="fr-CA"/>
              </w:rPr>
              <w:t>L</w:t>
            </w:r>
            <w:r w:rsidRPr="007E6ECF">
              <w:rPr>
                <w:lang w:val="fr-CA"/>
              </w:rPr>
              <w:t>imon</w:t>
            </w:r>
            <w:r w:rsidR="007E6ECF" w:rsidRPr="007E6ECF">
              <w:rPr>
                <w:lang w:val="fr-CA"/>
              </w:rPr>
              <w:t>è</w:t>
            </w:r>
            <w:r w:rsidRPr="007E6ECF">
              <w:rPr>
                <w:lang w:val="fr-CA"/>
              </w:rPr>
              <w:t>ne</w:t>
            </w:r>
          </w:p>
        </w:tc>
      </w:tr>
      <w:tr w:rsidR="00710A69" w:rsidRPr="00710A69" w14:paraId="3DAB1647" w14:textId="77777777" w:rsidTr="00056991">
        <w:trPr>
          <w:trHeight w:val="290"/>
        </w:trPr>
        <w:tc>
          <w:tcPr>
            <w:tcW w:w="4957" w:type="dxa"/>
            <w:hideMark/>
          </w:tcPr>
          <w:p w14:paraId="71D2C3B6" w14:textId="5C1AF8B6" w:rsidR="00056991" w:rsidRPr="00710A69" w:rsidRDefault="0075436F">
            <w:pPr>
              <w:rPr>
                <w:color w:val="5B9BD5" w:themeColor="accent1"/>
                <w:lang w:val="fr-CA"/>
              </w:rPr>
            </w:pPr>
            <w:r w:rsidRPr="0075436F">
              <w:rPr>
                <w:lang w:val="fr-CA"/>
              </w:rPr>
              <w:t>Oxyde d’éthylène</w:t>
            </w:r>
          </w:p>
        </w:tc>
      </w:tr>
      <w:tr w:rsidR="00710A69" w:rsidRPr="00710A69" w14:paraId="122A1A68" w14:textId="77777777" w:rsidTr="00056991">
        <w:trPr>
          <w:trHeight w:val="290"/>
        </w:trPr>
        <w:tc>
          <w:tcPr>
            <w:tcW w:w="4957" w:type="dxa"/>
            <w:hideMark/>
          </w:tcPr>
          <w:p w14:paraId="678270B1" w14:textId="693045A9" w:rsidR="00056991" w:rsidRPr="00710A69" w:rsidRDefault="00BD77C0">
            <w:pPr>
              <w:rPr>
                <w:color w:val="5B9BD5" w:themeColor="accent1"/>
                <w:lang w:val="fr-CA"/>
              </w:rPr>
            </w:pPr>
            <w:r w:rsidRPr="00BD77C0">
              <w:rPr>
                <w:lang w:val="fr-CA"/>
              </w:rPr>
              <w:t>Alcool isopropylique</w:t>
            </w:r>
          </w:p>
        </w:tc>
      </w:tr>
      <w:tr w:rsidR="00710A69" w:rsidRPr="00710A69" w14:paraId="69507828" w14:textId="77777777" w:rsidTr="00056991">
        <w:trPr>
          <w:trHeight w:val="290"/>
        </w:trPr>
        <w:tc>
          <w:tcPr>
            <w:tcW w:w="4957" w:type="dxa"/>
            <w:hideMark/>
          </w:tcPr>
          <w:p w14:paraId="7443D508" w14:textId="097D64FE" w:rsidR="00056991" w:rsidRPr="00710A69" w:rsidRDefault="00B93C55">
            <w:pPr>
              <w:rPr>
                <w:color w:val="5B9BD5" w:themeColor="accent1"/>
                <w:lang w:val="fr-CA"/>
              </w:rPr>
            </w:pPr>
            <w:r w:rsidRPr="00B93C55">
              <w:rPr>
                <w:lang w:val="fr-CA"/>
              </w:rPr>
              <w:t>Méthyléthylcétone</w:t>
            </w:r>
            <w:r w:rsidR="00056991" w:rsidRPr="00B93C55">
              <w:rPr>
                <w:lang w:val="fr-CA"/>
              </w:rPr>
              <w:t xml:space="preserve"> (2-butanone)</w:t>
            </w:r>
          </w:p>
        </w:tc>
      </w:tr>
      <w:tr w:rsidR="00710A69" w:rsidRPr="00710A69" w14:paraId="63C2F961" w14:textId="77777777" w:rsidTr="00056991">
        <w:trPr>
          <w:trHeight w:val="290"/>
        </w:trPr>
        <w:tc>
          <w:tcPr>
            <w:tcW w:w="4957" w:type="dxa"/>
            <w:hideMark/>
          </w:tcPr>
          <w:p w14:paraId="4F1E983B" w14:textId="6C15F5F2" w:rsidR="00056991" w:rsidRPr="00710A69" w:rsidRDefault="00056991">
            <w:pPr>
              <w:rPr>
                <w:color w:val="5B9BD5" w:themeColor="accent1"/>
                <w:lang w:val="fr-CA"/>
              </w:rPr>
            </w:pPr>
            <w:r w:rsidRPr="0070556A">
              <w:rPr>
                <w:lang w:val="fr-CA"/>
              </w:rPr>
              <w:t>M</w:t>
            </w:r>
            <w:r w:rsidR="0070556A" w:rsidRPr="0070556A">
              <w:rPr>
                <w:lang w:val="fr-CA"/>
              </w:rPr>
              <w:t>é</w:t>
            </w:r>
            <w:r w:rsidRPr="0070556A">
              <w:rPr>
                <w:lang w:val="fr-CA"/>
              </w:rPr>
              <w:t xml:space="preserve">thyl isobutyl </w:t>
            </w:r>
            <w:r w:rsidR="0070556A" w:rsidRPr="0070556A">
              <w:rPr>
                <w:lang w:val="fr-CA"/>
              </w:rPr>
              <w:t>cé</w:t>
            </w:r>
            <w:r w:rsidRPr="0070556A">
              <w:rPr>
                <w:lang w:val="fr-CA"/>
              </w:rPr>
              <w:t xml:space="preserve">tone </w:t>
            </w:r>
          </w:p>
        </w:tc>
      </w:tr>
      <w:tr w:rsidR="00710A69" w:rsidRPr="00710A69" w14:paraId="16735155" w14:textId="77777777" w:rsidTr="00056991">
        <w:trPr>
          <w:trHeight w:val="290"/>
        </w:trPr>
        <w:tc>
          <w:tcPr>
            <w:tcW w:w="4957" w:type="dxa"/>
            <w:hideMark/>
          </w:tcPr>
          <w:p w14:paraId="49E5F84C" w14:textId="64BF8678" w:rsidR="00056991" w:rsidRPr="00710A69" w:rsidRDefault="00056991">
            <w:pPr>
              <w:rPr>
                <w:color w:val="5B9BD5" w:themeColor="accent1"/>
                <w:lang w:val="fr-CA"/>
              </w:rPr>
            </w:pPr>
            <w:r w:rsidRPr="00D15BD9">
              <w:rPr>
                <w:lang w:val="fr-CA"/>
              </w:rPr>
              <w:t>Naphtal</w:t>
            </w:r>
            <w:r w:rsidR="00D15BD9" w:rsidRPr="00D15BD9">
              <w:rPr>
                <w:lang w:val="fr-CA"/>
              </w:rPr>
              <w:t>è</w:t>
            </w:r>
            <w:r w:rsidRPr="00D15BD9">
              <w:rPr>
                <w:lang w:val="fr-CA"/>
              </w:rPr>
              <w:t>ne</w:t>
            </w:r>
          </w:p>
        </w:tc>
      </w:tr>
      <w:tr w:rsidR="00710A69" w:rsidRPr="00710A69" w14:paraId="6B24CB2E" w14:textId="77777777" w:rsidTr="00056991">
        <w:trPr>
          <w:trHeight w:val="290"/>
        </w:trPr>
        <w:tc>
          <w:tcPr>
            <w:tcW w:w="4957" w:type="dxa"/>
            <w:hideMark/>
          </w:tcPr>
          <w:p w14:paraId="6103D58F" w14:textId="3A2C1424" w:rsidR="00056991" w:rsidRPr="00710A69" w:rsidRDefault="00056991">
            <w:pPr>
              <w:rPr>
                <w:color w:val="5B9BD5" w:themeColor="accent1"/>
                <w:lang w:val="fr-CA"/>
              </w:rPr>
            </w:pPr>
            <w:r w:rsidRPr="00B301BF">
              <w:rPr>
                <w:lang w:val="fr-CA"/>
              </w:rPr>
              <w:t>Propionald</w:t>
            </w:r>
            <w:r w:rsidR="00B301BF" w:rsidRPr="00B301BF">
              <w:rPr>
                <w:lang w:val="fr-CA"/>
              </w:rPr>
              <w:t>é</w:t>
            </w:r>
            <w:r w:rsidRPr="00B301BF">
              <w:rPr>
                <w:lang w:val="fr-CA"/>
              </w:rPr>
              <w:t>hyde (propanal)</w:t>
            </w:r>
          </w:p>
        </w:tc>
      </w:tr>
      <w:tr w:rsidR="00710A69" w:rsidRPr="00710A69" w14:paraId="1F30115E" w14:textId="77777777" w:rsidTr="00056991">
        <w:trPr>
          <w:trHeight w:val="290"/>
        </w:trPr>
        <w:tc>
          <w:tcPr>
            <w:tcW w:w="4957" w:type="dxa"/>
            <w:hideMark/>
          </w:tcPr>
          <w:p w14:paraId="7D9383B1" w14:textId="590E336F" w:rsidR="00056991" w:rsidRPr="00710A69" w:rsidRDefault="00056991">
            <w:pPr>
              <w:rPr>
                <w:color w:val="5B9BD5" w:themeColor="accent1"/>
                <w:lang w:val="fr-CA"/>
              </w:rPr>
            </w:pPr>
            <w:r w:rsidRPr="00F42A6C">
              <w:rPr>
                <w:lang w:val="fr-CA"/>
              </w:rPr>
              <w:t>Styr</w:t>
            </w:r>
            <w:r w:rsidR="00F42A6C" w:rsidRPr="00F42A6C">
              <w:rPr>
                <w:lang w:val="fr-CA"/>
              </w:rPr>
              <w:t>è</w:t>
            </w:r>
            <w:r w:rsidRPr="00F42A6C">
              <w:rPr>
                <w:lang w:val="fr-CA"/>
              </w:rPr>
              <w:t>ne</w:t>
            </w:r>
          </w:p>
        </w:tc>
      </w:tr>
      <w:tr w:rsidR="00710A69" w:rsidRPr="00D65AE9" w14:paraId="1816D1BF" w14:textId="77777777" w:rsidTr="00056991">
        <w:trPr>
          <w:trHeight w:val="290"/>
        </w:trPr>
        <w:tc>
          <w:tcPr>
            <w:tcW w:w="4957" w:type="dxa"/>
            <w:noWrap/>
            <w:hideMark/>
          </w:tcPr>
          <w:p w14:paraId="12170490" w14:textId="7212D6CD" w:rsidR="00056991" w:rsidRPr="00710A69" w:rsidRDefault="00056991">
            <w:pPr>
              <w:rPr>
                <w:color w:val="5B9BD5" w:themeColor="accent1"/>
                <w:lang w:val="fr-CA"/>
              </w:rPr>
            </w:pPr>
            <w:r w:rsidRPr="00F42A6C">
              <w:rPr>
                <w:lang w:val="fr-CA"/>
              </w:rPr>
              <w:t>TCEP (</w:t>
            </w:r>
            <w:r w:rsidR="00F42A6C" w:rsidRPr="00F42A6C">
              <w:rPr>
                <w:lang w:val="fr-CA"/>
              </w:rPr>
              <w:t xml:space="preserve">Phosphate de tris </w:t>
            </w:r>
            <w:r w:rsidRPr="00F42A6C">
              <w:rPr>
                <w:lang w:val="fr-CA"/>
              </w:rPr>
              <w:t>(2-chloro</w:t>
            </w:r>
            <w:r w:rsidR="00F42A6C" w:rsidRPr="00F42A6C">
              <w:rPr>
                <w:lang w:val="fr-CA"/>
              </w:rPr>
              <w:t>é</w:t>
            </w:r>
            <w:r w:rsidRPr="00F42A6C">
              <w:rPr>
                <w:lang w:val="fr-CA"/>
              </w:rPr>
              <w:t>thyl)</w:t>
            </w:r>
            <w:r w:rsidR="00F42A6C" w:rsidRPr="00F42A6C">
              <w:rPr>
                <w:lang w:val="fr-CA"/>
              </w:rPr>
              <w:t>)</w:t>
            </w:r>
          </w:p>
        </w:tc>
      </w:tr>
      <w:tr w:rsidR="00710A69" w:rsidRPr="00710A69" w14:paraId="4C9F5270" w14:textId="77777777" w:rsidTr="00056991">
        <w:trPr>
          <w:trHeight w:val="313"/>
        </w:trPr>
        <w:tc>
          <w:tcPr>
            <w:tcW w:w="4957" w:type="dxa"/>
            <w:hideMark/>
          </w:tcPr>
          <w:p w14:paraId="3E79402A" w14:textId="3C3B2682" w:rsidR="00056991" w:rsidRPr="00710A69" w:rsidRDefault="00056991">
            <w:pPr>
              <w:rPr>
                <w:color w:val="5B9BD5" w:themeColor="accent1"/>
                <w:lang w:val="fr-CA"/>
              </w:rPr>
            </w:pPr>
            <w:r w:rsidRPr="00FD04C0">
              <w:rPr>
                <w:lang w:val="fr-CA"/>
              </w:rPr>
              <w:t>T</w:t>
            </w:r>
            <w:r w:rsidR="00FD04C0" w:rsidRPr="00FD04C0">
              <w:rPr>
                <w:lang w:val="fr-CA"/>
              </w:rPr>
              <w:t>é</w:t>
            </w:r>
            <w:r w:rsidRPr="00FD04C0">
              <w:rPr>
                <w:lang w:val="fr-CA"/>
              </w:rPr>
              <w:t>trachloro</w:t>
            </w:r>
            <w:r w:rsidR="00FD04C0" w:rsidRPr="00FD04C0">
              <w:rPr>
                <w:lang w:val="fr-CA"/>
              </w:rPr>
              <w:t>é</w:t>
            </w:r>
            <w:r w:rsidRPr="00FD04C0">
              <w:rPr>
                <w:lang w:val="fr-CA"/>
              </w:rPr>
              <w:t>th</w:t>
            </w:r>
            <w:r w:rsidR="00FD04C0" w:rsidRPr="00FD04C0">
              <w:rPr>
                <w:lang w:val="fr-CA"/>
              </w:rPr>
              <w:t>è</w:t>
            </w:r>
            <w:r w:rsidRPr="00FD04C0">
              <w:rPr>
                <w:lang w:val="fr-CA"/>
              </w:rPr>
              <w:t>ne (t</w:t>
            </w:r>
            <w:r w:rsidR="00FD04C0" w:rsidRPr="00FD04C0">
              <w:rPr>
                <w:lang w:val="fr-CA"/>
              </w:rPr>
              <w:t>é</w:t>
            </w:r>
            <w:r w:rsidRPr="00FD04C0">
              <w:rPr>
                <w:lang w:val="fr-CA"/>
              </w:rPr>
              <w:t>trachloro</w:t>
            </w:r>
            <w:r w:rsidR="00FD04C0" w:rsidRPr="00FD04C0">
              <w:rPr>
                <w:lang w:val="fr-CA"/>
              </w:rPr>
              <w:t>é</w:t>
            </w:r>
            <w:r w:rsidRPr="00FD04C0">
              <w:rPr>
                <w:lang w:val="fr-CA"/>
              </w:rPr>
              <w:t>thyl</w:t>
            </w:r>
            <w:r w:rsidR="00FD04C0" w:rsidRPr="00FD04C0">
              <w:rPr>
                <w:lang w:val="fr-CA"/>
              </w:rPr>
              <w:t>è</w:t>
            </w:r>
            <w:r w:rsidRPr="00FD04C0">
              <w:rPr>
                <w:lang w:val="fr-CA"/>
              </w:rPr>
              <w:t>ne, PCE)</w:t>
            </w:r>
          </w:p>
        </w:tc>
      </w:tr>
      <w:tr w:rsidR="00710A69" w:rsidRPr="00710A69" w14:paraId="54C863BA" w14:textId="77777777" w:rsidTr="00056991">
        <w:trPr>
          <w:trHeight w:val="290"/>
        </w:trPr>
        <w:tc>
          <w:tcPr>
            <w:tcW w:w="4957" w:type="dxa"/>
            <w:hideMark/>
          </w:tcPr>
          <w:p w14:paraId="172A81F5" w14:textId="60A3C08C" w:rsidR="00056991" w:rsidRPr="00FD04C0" w:rsidRDefault="00056991">
            <w:pPr>
              <w:rPr>
                <w:lang w:val="fr-CA"/>
              </w:rPr>
            </w:pPr>
            <w:r w:rsidRPr="00FD04C0">
              <w:rPr>
                <w:lang w:val="fr-CA"/>
              </w:rPr>
              <w:t>Tolu</w:t>
            </w:r>
            <w:r w:rsidR="00FD04C0" w:rsidRPr="00FD04C0">
              <w:rPr>
                <w:lang w:val="fr-CA"/>
              </w:rPr>
              <w:t>è</w:t>
            </w:r>
            <w:r w:rsidRPr="00FD04C0">
              <w:rPr>
                <w:lang w:val="fr-CA"/>
              </w:rPr>
              <w:t>ne</w:t>
            </w:r>
          </w:p>
        </w:tc>
      </w:tr>
      <w:tr w:rsidR="00710A69" w:rsidRPr="00710A69" w14:paraId="65516C3A" w14:textId="77777777" w:rsidTr="00056991">
        <w:trPr>
          <w:trHeight w:val="290"/>
        </w:trPr>
        <w:tc>
          <w:tcPr>
            <w:tcW w:w="4957" w:type="dxa"/>
            <w:noWrap/>
            <w:hideMark/>
          </w:tcPr>
          <w:p w14:paraId="26A6BA9A" w14:textId="17706E6B" w:rsidR="00056991" w:rsidRPr="00710A69" w:rsidRDefault="002968D3">
            <w:pPr>
              <w:rPr>
                <w:color w:val="5B9BD5" w:themeColor="accent1"/>
                <w:lang w:val="fr-CA"/>
              </w:rPr>
            </w:pPr>
            <w:r>
              <w:rPr>
                <w:lang w:val="fr-CA"/>
              </w:rPr>
              <w:t>D</w:t>
            </w:r>
            <w:r w:rsidR="00056991" w:rsidRPr="00FD04C0">
              <w:rPr>
                <w:lang w:val="fr-CA"/>
              </w:rPr>
              <w:t>iisocyanate</w:t>
            </w:r>
            <w:r>
              <w:rPr>
                <w:lang w:val="fr-CA"/>
              </w:rPr>
              <w:t xml:space="preserve"> de t</w:t>
            </w:r>
            <w:r w:rsidRPr="00FD04C0">
              <w:rPr>
                <w:lang w:val="fr-CA"/>
              </w:rPr>
              <w:t>oluène</w:t>
            </w:r>
          </w:p>
        </w:tc>
      </w:tr>
      <w:tr w:rsidR="00056991" w:rsidRPr="00710A69" w14:paraId="6456513A" w14:textId="77777777" w:rsidTr="00056991">
        <w:trPr>
          <w:trHeight w:val="290"/>
        </w:trPr>
        <w:tc>
          <w:tcPr>
            <w:tcW w:w="4957" w:type="dxa"/>
            <w:noWrap/>
            <w:hideMark/>
          </w:tcPr>
          <w:p w14:paraId="7FB1D571" w14:textId="5311A78D" w:rsidR="00056991" w:rsidRPr="00710A69" w:rsidRDefault="00056991">
            <w:pPr>
              <w:rPr>
                <w:color w:val="5B9BD5" w:themeColor="accent1"/>
                <w:lang w:val="fr-CA"/>
              </w:rPr>
            </w:pPr>
            <w:r w:rsidRPr="00FD04C0">
              <w:rPr>
                <w:lang w:val="fr-CA"/>
              </w:rPr>
              <w:t>Trichloro</w:t>
            </w:r>
            <w:r w:rsidR="00FD04C0" w:rsidRPr="00FD04C0">
              <w:rPr>
                <w:lang w:val="fr-CA"/>
              </w:rPr>
              <w:t>é</w:t>
            </w:r>
            <w:r w:rsidRPr="00FD04C0">
              <w:rPr>
                <w:lang w:val="fr-CA"/>
              </w:rPr>
              <w:t>thyl</w:t>
            </w:r>
            <w:r w:rsidR="00FD04C0" w:rsidRPr="00FD04C0">
              <w:rPr>
                <w:lang w:val="fr-CA"/>
              </w:rPr>
              <w:t>è</w:t>
            </w:r>
            <w:r w:rsidRPr="00FD04C0">
              <w:rPr>
                <w:lang w:val="fr-CA"/>
              </w:rPr>
              <w:t>ne</w:t>
            </w:r>
          </w:p>
        </w:tc>
      </w:tr>
    </w:tbl>
    <w:p w14:paraId="73A48274" w14:textId="77777777" w:rsidR="00056991" w:rsidRPr="00710A69" w:rsidRDefault="00056991">
      <w:pPr>
        <w:rPr>
          <w:b/>
          <w:color w:val="5B9BD5" w:themeColor="accent1"/>
          <w:lang w:val="fr-CA"/>
        </w:rPr>
      </w:pPr>
    </w:p>
    <w:p w14:paraId="70C650E0" w14:textId="77777777" w:rsidR="00056991" w:rsidRPr="00710A69" w:rsidRDefault="00056991" w:rsidP="00056991">
      <w:pPr>
        <w:rPr>
          <w:color w:val="5B9BD5" w:themeColor="accent1"/>
          <w:lang w:val="fr-CA"/>
        </w:rPr>
      </w:pPr>
    </w:p>
    <w:p w14:paraId="08C3E039" w14:textId="77777777" w:rsidR="00056991" w:rsidRPr="00710A69" w:rsidRDefault="00056991" w:rsidP="00056991">
      <w:pPr>
        <w:rPr>
          <w:rFonts w:ascii="Calibri" w:hAnsi="Calibri" w:cs="Calibri"/>
          <w:color w:val="5B9BD5" w:themeColor="accent1"/>
          <w:lang w:val="fr-CA"/>
        </w:rPr>
      </w:pPr>
    </w:p>
    <w:p w14:paraId="092D8797" w14:textId="77777777" w:rsidR="00056991" w:rsidRPr="00710A69" w:rsidRDefault="00056991">
      <w:pPr>
        <w:rPr>
          <w:b/>
          <w:color w:val="5B9BD5" w:themeColor="accent1"/>
          <w:lang w:val="fr-CA"/>
        </w:rPr>
      </w:pPr>
    </w:p>
    <w:sectPr w:rsidR="00056991" w:rsidRPr="00710A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922B7" w14:textId="77777777" w:rsidR="00E04182" w:rsidRDefault="00E04182" w:rsidP="006E54A6">
      <w:pPr>
        <w:spacing w:after="0" w:line="240" w:lineRule="auto"/>
      </w:pPr>
      <w:r>
        <w:separator/>
      </w:r>
    </w:p>
  </w:endnote>
  <w:endnote w:type="continuationSeparator" w:id="0">
    <w:p w14:paraId="41C4F828" w14:textId="77777777" w:rsidR="00E04182" w:rsidRDefault="00E04182" w:rsidP="006E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7AF82" w14:textId="77777777" w:rsidR="00E04182" w:rsidRDefault="00E04182" w:rsidP="006E54A6">
      <w:pPr>
        <w:spacing w:after="0" w:line="240" w:lineRule="auto"/>
      </w:pPr>
      <w:r>
        <w:separator/>
      </w:r>
    </w:p>
  </w:footnote>
  <w:footnote w:type="continuationSeparator" w:id="0">
    <w:p w14:paraId="7069975C" w14:textId="77777777" w:rsidR="00E04182" w:rsidRDefault="00E04182" w:rsidP="006E5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DDD"/>
    <w:multiLevelType w:val="hybridMultilevel"/>
    <w:tmpl w:val="6BBA4B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062C2F"/>
    <w:multiLevelType w:val="hybridMultilevel"/>
    <w:tmpl w:val="FF98ED3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C73F58"/>
    <w:multiLevelType w:val="hybridMultilevel"/>
    <w:tmpl w:val="B7E67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8C5F33"/>
    <w:multiLevelType w:val="hybridMultilevel"/>
    <w:tmpl w:val="C3AC4DDA"/>
    <w:lvl w:ilvl="0" w:tplc="10090001">
      <w:start w:val="1"/>
      <w:numFmt w:val="bullet"/>
      <w:lvlText w:val=""/>
      <w:lvlJc w:val="left"/>
      <w:pPr>
        <w:ind w:left="769" w:hanging="360"/>
      </w:pPr>
      <w:rPr>
        <w:rFonts w:ascii="Symbol" w:hAnsi="Symbol" w:hint="default"/>
      </w:rPr>
    </w:lvl>
    <w:lvl w:ilvl="1" w:tplc="10090003" w:tentative="1">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4" w15:restartNumberingAfterBreak="0">
    <w:nsid w:val="511B2C9E"/>
    <w:multiLevelType w:val="hybridMultilevel"/>
    <w:tmpl w:val="E69210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2D9660F"/>
    <w:multiLevelType w:val="hybridMultilevel"/>
    <w:tmpl w:val="196ED696"/>
    <w:lvl w:ilvl="0" w:tplc="10090001">
      <w:start w:val="1"/>
      <w:numFmt w:val="bullet"/>
      <w:lvlText w:val=""/>
      <w:lvlJc w:val="left"/>
      <w:pPr>
        <w:ind w:left="1129" w:hanging="360"/>
      </w:pPr>
      <w:rPr>
        <w:rFonts w:ascii="Symbol" w:hAnsi="Symbol" w:hint="default"/>
      </w:rPr>
    </w:lvl>
    <w:lvl w:ilvl="1" w:tplc="10090003" w:tentative="1">
      <w:start w:val="1"/>
      <w:numFmt w:val="bullet"/>
      <w:lvlText w:val="o"/>
      <w:lvlJc w:val="left"/>
      <w:pPr>
        <w:ind w:left="1849" w:hanging="360"/>
      </w:pPr>
      <w:rPr>
        <w:rFonts w:ascii="Courier New" w:hAnsi="Courier New" w:cs="Courier New" w:hint="default"/>
      </w:rPr>
    </w:lvl>
    <w:lvl w:ilvl="2" w:tplc="10090005" w:tentative="1">
      <w:start w:val="1"/>
      <w:numFmt w:val="bullet"/>
      <w:lvlText w:val=""/>
      <w:lvlJc w:val="left"/>
      <w:pPr>
        <w:ind w:left="2569" w:hanging="360"/>
      </w:pPr>
      <w:rPr>
        <w:rFonts w:ascii="Wingdings" w:hAnsi="Wingdings" w:hint="default"/>
      </w:rPr>
    </w:lvl>
    <w:lvl w:ilvl="3" w:tplc="10090001" w:tentative="1">
      <w:start w:val="1"/>
      <w:numFmt w:val="bullet"/>
      <w:lvlText w:val=""/>
      <w:lvlJc w:val="left"/>
      <w:pPr>
        <w:ind w:left="3289" w:hanging="360"/>
      </w:pPr>
      <w:rPr>
        <w:rFonts w:ascii="Symbol" w:hAnsi="Symbol" w:hint="default"/>
      </w:rPr>
    </w:lvl>
    <w:lvl w:ilvl="4" w:tplc="10090003" w:tentative="1">
      <w:start w:val="1"/>
      <w:numFmt w:val="bullet"/>
      <w:lvlText w:val="o"/>
      <w:lvlJc w:val="left"/>
      <w:pPr>
        <w:ind w:left="4009" w:hanging="360"/>
      </w:pPr>
      <w:rPr>
        <w:rFonts w:ascii="Courier New" w:hAnsi="Courier New" w:cs="Courier New" w:hint="default"/>
      </w:rPr>
    </w:lvl>
    <w:lvl w:ilvl="5" w:tplc="10090005" w:tentative="1">
      <w:start w:val="1"/>
      <w:numFmt w:val="bullet"/>
      <w:lvlText w:val=""/>
      <w:lvlJc w:val="left"/>
      <w:pPr>
        <w:ind w:left="4729" w:hanging="360"/>
      </w:pPr>
      <w:rPr>
        <w:rFonts w:ascii="Wingdings" w:hAnsi="Wingdings" w:hint="default"/>
      </w:rPr>
    </w:lvl>
    <w:lvl w:ilvl="6" w:tplc="10090001" w:tentative="1">
      <w:start w:val="1"/>
      <w:numFmt w:val="bullet"/>
      <w:lvlText w:val=""/>
      <w:lvlJc w:val="left"/>
      <w:pPr>
        <w:ind w:left="5449" w:hanging="360"/>
      </w:pPr>
      <w:rPr>
        <w:rFonts w:ascii="Symbol" w:hAnsi="Symbol" w:hint="default"/>
      </w:rPr>
    </w:lvl>
    <w:lvl w:ilvl="7" w:tplc="10090003" w:tentative="1">
      <w:start w:val="1"/>
      <w:numFmt w:val="bullet"/>
      <w:lvlText w:val="o"/>
      <w:lvlJc w:val="left"/>
      <w:pPr>
        <w:ind w:left="6169" w:hanging="360"/>
      </w:pPr>
      <w:rPr>
        <w:rFonts w:ascii="Courier New" w:hAnsi="Courier New" w:cs="Courier New" w:hint="default"/>
      </w:rPr>
    </w:lvl>
    <w:lvl w:ilvl="8" w:tplc="10090005" w:tentative="1">
      <w:start w:val="1"/>
      <w:numFmt w:val="bullet"/>
      <w:lvlText w:val=""/>
      <w:lvlJc w:val="left"/>
      <w:pPr>
        <w:ind w:left="6889" w:hanging="360"/>
      </w:pPr>
      <w:rPr>
        <w:rFonts w:ascii="Wingdings" w:hAnsi="Wingdings" w:hint="default"/>
      </w:rPr>
    </w:lvl>
  </w:abstractNum>
  <w:abstractNum w:abstractNumId="6" w15:restartNumberingAfterBreak="0">
    <w:nsid w:val="705D7F08"/>
    <w:multiLevelType w:val="hybridMultilevel"/>
    <w:tmpl w:val="9DC87D3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activeWritingStyle w:appName="MSWord" w:lang="fr-CA" w:vendorID="64" w:dllVersion="131078" w:nlCheck="1" w:checkStyle="0"/>
  <w:activeWritingStyle w:appName="MSWord" w:lang="en-CA"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documentProtection w:edit="readOnly" w:enforcement="1" w:cryptProviderType="rsaAES" w:cryptAlgorithmClass="hash" w:cryptAlgorithmType="typeAny" w:cryptAlgorithmSid="14" w:cryptSpinCount="100000" w:hash="YkOiOxuLlgcdWkgBOYBIi5eMR+XHFy6T2ApeCStFgk/yCCFJRcDKTVnKOC/uonOeSXKj3lY0f0El0eERBY9k8Q==" w:salt="slxAm1bACd7Mrm+/be3CQ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B64435-7CFE-49CE-B20F-CC2C58DA9EC9}"/>
    <w:docVar w:name="dgnword-eventsink" w:val="2268062015520"/>
    <w:docVar w:name="dgnword-lastRevisionsView" w:val="0"/>
  </w:docVars>
  <w:rsids>
    <w:rsidRoot w:val="00A91C80"/>
    <w:rsid w:val="000118C6"/>
    <w:rsid w:val="00022C58"/>
    <w:rsid w:val="00023F32"/>
    <w:rsid w:val="0003334B"/>
    <w:rsid w:val="0004027A"/>
    <w:rsid w:val="00040FA6"/>
    <w:rsid w:val="00042A97"/>
    <w:rsid w:val="000539C0"/>
    <w:rsid w:val="00056991"/>
    <w:rsid w:val="00076121"/>
    <w:rsid w:val="00080F75"/>
    <w:rsid w:val="0009170E"/>
    <w:rsid w:val="00091FBC"/>
    <w:rsid w:val="00092CD6"/>
    <w:rsid w:val="000A53DC"/>
    <w:rsid w:val="000B11F4"/>
    <w:rsid w:val="000B4E2B"/>
    <w:rsid w:val="000C7CA5"/>
    <w:rsid w:val="000D6C7B"/>
    <w:rsid w:val="000E6CD9"/>
    <w:rsid w:val="00110FEC"/>
    <w:rsid w:val="0011406C"/>
    <w:rsid w:val="00115CB8"/>
    <w:rsid w:val="00117DC4"/>
    <w:rsid w:val="0013112A"/>
    <w:rsid w:val="00141A35"/>
    <w:rsid w:val="001510EE"/>
    <w:rsid w:val="00152026"/>
    <w:rsid w:val="00155885"/>
    <w:rsid w:val="00166A98"/>
    <w:rsid w:val="00174A75"/>
    <w:rsid w:val="00180E91"/>
    <w:rsid w:val="00182785"/>
    <w:rsid w:val="001A1BB8"/>
    <w:rsid w:val="001B4145"/>
    <w:rsid w:val="001B73DB"/>
    <w:rsid w:val="001C5DC3"/>
    <w:rsid w:val="001D0BF1"/>
    <w:rsid w:val="001D79B3"/>
    <w:rsid w:val="001E3C8B"/>
    <w:rsid w:val="001F27C1"/>
    <w:rsid w:val="001F37D3"/>
    <w:rsid w:val="001F50D5"/>
    <w:rsid w:val="00202DC5"/>
    <w:rsid w:val="00211AAD"/>
    <w:rsid w:val="00230E59"/>
    <w:rsid w:val="0023254D"/>
    <w:rsid w:val="002446F6"/>
    <w:rsid w:val="00272450"/>
    <w:rsid w:val="002743D3"/>
    <w:rsid w:val="00283B36"/>
    <w:rsid w:val="00292BED"/>
    <w:rsid w:val="00296454"/>
    <w:rsid w:val="002968D3"/>
    <w:rsid w:val="002A0BA7"/>
    <w:rsid w:val="002A3A4E"/>
    <w:rsid w:val="002B1498"/>
    <w:rsid w:val="002B6D3B"/>
    <w:rsid w:val="002C7793"/>
    <w:rsid w:val="002E1E46"/>
    <w:rsid w:val="002E570E"/>
    <w:rsid w:val="002F1FA5"/>
    <w:rsid w:val="003007D6"/>
    <w:rsid w:val="0030276C"/>
    <w:rsid w:val="00310DD6"/>
    <w:rsid w:val="003249FE"/>
    <w:rsid w:val="003269C9"/>
    <w:rsid w:val="003322AE"/>
    <w:rsid w:val="00341B05"/>
    <w:rsid w:val="003665FF"/>
    <w:rsid w:val="003858F1"/>
    <w:rsid w:val="00396775"/>
    <w:rsid w:val="003B0910"/>
    <w:rsid w:val="003C78E0"/>
    <w:rsid w:val="003F6254"/>
    <w:rsid w:val="00400C21"/>
    <w:rsid w:val="00400E00"/>
    <w:rsid w:val="0040430B"/>
    <w:rsid w:val="0041024D"/>
    <w:rsid w:val="0041105C"/>
    <w:rsid w:val="004367FF"/>
    <w:rsid w:val="004511E0"/>
    <w:rsid w:val="0046220D"/>
    <w:rsid w:val="0046393D"/>
    <w:rsid w:val="00471B27"/>
    <w:rsid w:val="004831D7"/>
    <w:rsid w:val="004A7114"/>
    <w:rsid w:val="004B6151"/>
    <w:rsid w:val="004C0650"/>
    <w:rsid w:val="004C2B5D"/>
    <w:rsid w:val="004C4676"/>
    <w:rsid w:val="004D5361"/>
    <w:rsid w:val="004E4715"/>
    <w:rsid w:val="004E79E8"/>
    <w:rsid w:val="004F02DD"/>
    <w:rsid w:val="004F3D6D"/>
    <w:rsid w:val="00503B16"/>
    <w:rsid w:val="00520023"/>
    <w:rsid w:val="00526A51"/>
    <w:rsid w:val="00533038"/>
    <w:rsid w:val="00533F3F"/>
    <w:rsid w:val="00555977"/>
    <w:rsid w:val="00564EB8"/>
    <w:rsid w:val="00570157"/>
    <w:rsid w:val="00573D96"/>
    <w:rsid w:val="00581CDB"/>
    <w:rsid w:val="00585796"/>
    <w:rsid w:val="00586174"/>
    <w:rsid w:val="005A2348"/>
    <w:rsid w:val="005A5C38"/>
    <w:rsid w:val="005B3A71"/>
    <w:rsid w:val="005C2F54"/>
    <w:rsid w:val="005E0BA7"/>
    <w:rsid w:val="006043D8"/>
    <w:rsid w:val="00605946"/>
    <w:rsid w:val="006171E6"/>
    <w:rsid w:val="00621E60"/>
    <w:rsid w:val="0062473F"/>
    <w:rsid w:val="00630319"/>
    <w:rsid w:val="006325E5"/>
    <w:rsid w:val="00634EB2"/>
    <w:rsid w:val="00636B48"/>
    <w:rsid w:val="006377A7"/>
    <w:rsid w:val="00661010"/>
    <w:rsid w:val="00661BD0"/>
    <w:rsid w:val="00664F1E"/>
    <w:rsid w:val="00674FD9"/>
    <w:rsid w:val="006857DD"/>
    <w:rsid w:val="0069199A"/>
    <w:rsid w:val="00694B2A"/>
    <w:rsid w:val="0069780D"/>
    <w:rsid w:val="006A0DDA"/>
    <w:rsid w:val="006B4D3B"/>
    <w:rsid w:val="006B7490"/>
    <w:rsid w:val="006C0784"/>
    <w:rsid w:val="006E1273"/>
    <w:rsid w:val="006E54A6"/>
    <w:rsid w:val="006F1AD1"/>
    <w:rsid w:val="0070556A"/>
    <w:rsid w:val="00710A69"/>
    <w:rsid w:val="00715679"/>
    <w:rsid w:val="007252C5"/>
    <w:rsid w:val="00725BFA"/>
    <w:rsid w:val="00734541"/>
    <w:rsid w:val="00735920"/>
    <w:rsid w:val="007530FD"/>
    <w:rsid w:val="0075436F"/>
    <w:rsid w:val="0076188D"/>
    <w:rsid w:val="0077003E"/>
    <w:rsid w:val="00792C44"/>
    <w:rsid w:val="00796686"/>
    <w:rsid w:val="007B4DDE"/>
    <w:rsid w:val="007C3664"/>
    <w:rsid w:val="007D6297"/>
    <w:rsid w:val="007E0BD3"/>
    <w:rsid w:val="007E2EBC"/>
    <w:rsid w:val="007E6ECF"/>
    <w:rsid w:val="007F2C3E"/>
    <w:rsid w:val="007F3712"/>
    <w:rsid w:val="007F3BCE"/>
    <w:rsid w:val="00815288"/>
    <w:rsid w:val="008161C9"/>
    <w:rsid w:val="00830F6F"/>
    <w:rsid w:val="008352DA"/>
    <w:rsid w:val="008412D5"/>
    <w:rsid w:val="00843C94"/>
    <w:rsid w:val="008753C5"/>
    <w:rsid w:val="008820AE"/>
    <w:rsid w:val="0088533D"/>
    <w:rsid w:val="008923CD"/>
    <w:rsid w:val="0089451A"/>
    <w:rsid w:val="008A1DBE"/>
    <w:rsid w:val="008A315A"/>
    <w:rsid w:val="008A407B"/>
    <w:rsid w:val="008B1915"/>
    <w:rsid w:val="008B61FF"/>
    <w:rsid w:val="008C693E"/>
    <w:rsid w:val="009068CD"/>
    <w:rsid w:val="00913336"/>
    <w:rsid w:val="009730CB"/>
    <w:rsid w:val="00983B97"/>
    <w:rsid w:val="00985E95"/>
    <w:rsid w:val="00987928"/>
    <w:rsid w:val="00991AD8"/>
    <w:rsid w:val="00993CD0"/>
    <w:rsid w:val="00994199"/>
    <w:rsid w:val="0099640C"/>
    <w:rsid w:val="009979EE"/>
    <w:rsid w:val="009A3586"/>
    <w:rsid w:val="009A4FE6"/>
    <w:rsid w:val="009A5B34"/>
    <w:rsid w:val="009B6ACC"/>
    <w:rsid w:val="009D0481"/>
    <w:rsid w:val="009D2BB9"/>
    <w:rsid w:val="009D55BB"/>
    <w:rsid w:val="009E4611"/>
    <w:rsid w:val="009F3490"/>
    <w:rsid w:val="00A13E35"/>
    <w:rsid w:val="00A3345F"/>
    <w:rsid w:val="00A346FA"/>
    <w:rsid w:val="00A35709"/>
    <w:rsid w:val="00A3630C"/>
    <w:rsid w:val="00A42F18"/>
    <w:rsid w:val="00A45A4F"/>
    <w:rsid w:val="00A5346C"/>
    <w:rsid w:val="00A53DBF"/>
    <w:rsid w:val="00A57994"/>
    <w:rsid w:val="00A70F0E"/>
    <w:rsid w:val="00A7695B"/>
    <w:rsid w:val="00A82B97"/>
    <w:rsid w:val="00A82CD3"/>
    <w:rsid w:val="00A90149"/>
    <w:rsid w:val="00A90657"/>
    <w:rsid w:val="00A91C80"/>
    <w:rsid w:val="00AA1B1A"/>
    <w:rsid w:val="00AB69BD"/>
    <w:rsid w:val="00AB7D7A"/>
    <w:rsid w:val="00AE5712"/>
    <w:rsid w:val="00AE5D14"/>
    <w:rsid w:val="00AF6692"/>
    <w:rsid w:val="00B07626"/>
    <w:rsid w:val="00B1012F"/>
    <w:rsid w:val="00B15CAD"/>
    <w:rsid w:val="00B207DB"/>
    <w:rsid w:val="00B23A04"/>
    <w:rsid w:val="00B301BF"/>
    <w:rsid w:val="00B75FD5"/>
    <w:rsid w:val="00B85C27"/>
    <w:rsid w:val="00B9001D"/>
    <w:rsid w:val="00B93C55"/>
    <w:rsid w:val="00BB08B7"/>
    <w:rsid w:val="00BB202B"/>
    <w:rsid w:val="00BB5BC6"/>
    <w:rsid w:val="00BB6231"/>
    <w:rsid w:val="00BB6A0F"/>
    <w:rsid w:val="00BB7F77"/>
    <w:rsid w:val="00BC0F83"/>
    <w:rsid w:val="00BC1206"/>
    <w:rsid w:val="00BC7248"/>
    <w:rsid w:val="00BD22A6"/>
    <w:rsid w:val="00BD3034"/>
    <w:rsid w:val="00BD77C0"/>
    <w:rsid w:val="00BE0C4A"/>
    <w:rsid w:val="00C01121"/>
    <w:rsid w:val="00C0609B"/>
    <w:rsid w:val="00C20163"/>
    <w:rsid w:val="00C24286"/>
    <w:rsid w:val="00C36A65"/>
    <w:rsid w:val="00C3708E"/>
    <w:rsid w:val="00C46EA8"/>
    <w:rsid w:val="00C5772F"/>
    <w:rsid w:val="00C730EF"/>
    <w:rsid w:val="00C7634A"/>
    <w:rsid w:val="00C8010B"/>
    <w:rsid w:val="00C87CDE"/>
    <w:rsid w:val="00C95798"/>
    <w:rsid w:val="00C966D4"/>
    <w:rsid w:val="00CA06F3"/>
    <w:rsid w:val="00CB0A9E"/>
    <w:rsid w:val="00CC26CD"/>
    <w:rsid w:val="00CD2F27"/>
    <w:rsid w:val="00CE0B0E"/>
    <w:rsid w:val="00CF3FFB"/>
    <w:rsid w:val="00D03871"/>
    <w:rsid w:val="00D124BB"/>
    <w:rsid w:val="00D13B87"/>
    <w:rsid w:val="00D15BD9"/>
    <w:rsid w:val="00D354A6"/>
    <w:rsid w:val="00D40F9F"/>
    <w:rsid w:val="00D450DC"/>
    <w:rsid w:val="00D50892"/>
    <w:rsid w:val="00D5382E"/>
    <w:rsid w:val="00D56DC4"/>
    <w:rsid w:val="00D630B8"/>
    <w:rsid w:val="00D65AE9"/>
    <w:rsid w:val="00D66A7A"/>
    <w:rsid w:val="00D82FBF"/>
    <w:rsid w:val="00D83732"/>
    <w:rsid w:val="00D87B7D"/>
    <w:rsid w:val="00D87F73"/>
    <w:rsid w:val="00D9190F"/>
    <w:rsid w:val="00D95AFC"/>
    <w:rsid w:val="00DA0C2D"/>
    <w:rsid w:val="00DA1589"/>
    <w:rsid w:val="00DA21D9"/>
    <w:rsid w:val="00DA624F"/>
    <w:rsid w:val="00DB6DE3"/>
    <w:rsid w:val="00DC0DAA"/>
    <w:rsid w:val="00DD3122"/>
    <w:rsid w:val="00DF60AF"/>
    <w:rsid w:val="00E04182"/>
    <w:rsid w:val="00E066E6"/>
    <w:rsid w:val="00E124AA"/>
    <w:rsid w:val="00E24293"/>
    <w:rsid w:val="00E341F1"/>
    <w:rsid w:val="00E34556"/>
    <w:rsid w:val="00E354E6"/>
    <w:rsid w:val="00E40761"/>
    <w:rsid w:val="00E41488"/>
    <w:rsid w:val="00E558B1"/>
    <w:rsid w:val="00E759A6"/>
    <w:rsid w:val="00E80D5E"/>
    <w:rsid w:val="00EA6FEC"/>
    <w:rsid w:val="00EB21B5"/>
    <w:rsid w:val="00EB29F8"/>
    <w:rsid w:val="00EB7B5B"/>
    <w:rsid w:val="00EB7F8C"/>
    <w:rsid w:val="00EC350D"/>
    <w:rsid w:val="00ED500D"/>
    <w:rsid w:val="00ED7818"/>
    <w:rsid w:val="00EE0D7C"/>
    <w:rsid w:val="00EE1000"/>
    <w:rsid w:val="00EF6B29"/>
    <w:rsid w:val="00F0616F"/>
    <w:rsid w:val="00F1579D"/>
    <w:rsid w:val="00F21A53"/>
    <w:rsid w:val="00F327C8"/>
    <w:rsid w:val="00F42A6C"/>
    <w:rsid w:val="00F43898"/>
    <w:rsid w:val="00F50095"/>
    <w:rsid w:val="00F51DE0"/>
    <w:rsid w:val="00F675F9"/>
    <w:rsid w:val="00F72F9D"/>
    <w:rsid w:val="00F738A6"/>
    <w:rsid w:val="00F7705C"/>
    <w:rsid w:val="00F85297"/>
    <w:rsid w:val="00F8723B"/>
    <w:rsid w:val="00F908ED"/>
    <w:rsid w:val="00F96173"/>
    <w:rsid w:val="00FA2470"/>
    <w:rsid w:val="00FA2D1A"/>
    <w:rsid w:val="00FA4920"/>
    <w:rsid w:val="00FA6A3A"/>
    <w:rsid w:val="00FB7137"/>
    <w:rsid w:val="00FD04C0"/>
    <w:rsid w:val="00FD29FA"/>
    <w:rsid w:val="00FE6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5C64"/>
  <w15:chartTrackingRefBased/>
  <w15:docId w15:val="{6F50B237-7400-4337-9A90-05CBC6B6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C80"/>
    <w:pPr>
      <w:ind w:left="720"/>
      <w:contextualSpacing/>
    </w:pPr>
  </w:style>
  <w:style w:type="character" w:styleId="CommentReference">
    <w:name w:val="annotation reference"/>
    <w:basedOn w:val="DefaultParagraphFont"/>
    <w:uiPriority w:val="99"/>
    <w:semiHidden/>
    <w:unhideWhenUsed/>
    <w:rsid w:val="00A91C80"/>
    <w:rPr>
      <w:sz w:val="16"/>
      <w:szCs w:val="16"/>
    </w:rPr>
  </w:style>
  <w:style w:type="paragraph" w:styleId="CommentText">
    <w:name w:val="annotation text"/>
    <w:basedOn w:val="Normal"/>
    <w:link w:val="CommentTextChar"/>
    <w:uiPriority w:val="99"/>
    <w:unhideWhenUsed/>
    <w:rsid w:val="00A91C80"/>
    <w:pPr>
      <w:spacing w:line="240" w:lineRule="auto"/>
    </w:pPr>
    <w:rPr>
      <w:sz w:val="20"/>
      <w:szCs w:val="20"/>
    </w:rPr>
  </w:style>
  <w:style w:type="character" w:customStyle="1" w:styleId="CommentTextChar">
    <w:name w:val="Comment Text Char"/>
    <w:basedOn w:val="DefaultParagraphFont"/>
    <w:link w:val="CommentText"/>
    <w:uiPriority w:val="99"/>
    <w:rsid w:val="00A91C80"/>
    <w:rPr>
      <w:sz w:val="20"/>
      <w:szCs w:val="20"/>
    </w:rPr>
  </w:style>
  <w:style w:type="character" w:styleId="Hyperlink">
    <w:name w:val="Hyperlink"/>
    <w:basedOn w:val="DefaultParagraphFont"/>
    <w:uiPriority w:val="99"/>
    <w:unhideWhenUsed/>
    <w:rsid w:val="00A91C80"/>
    <w:rPr>
      <w:color w:val="0563C1" w:themeColor="hyperlink"/>
      <w:u w:val="single"/>
    </w:rPr>
  </w:style>
  <w:style w:type="paragraph" w:styleId="BalloonText">
    <w:name w:val="Balloon Text"/>
    <w:basedOn w:val="Normal"/>
    <w:link w:val="BalloonTextChar"/>
    <w:uiPriority w:val="99"/>
    <w:semiHidden/>
    <w:unhideWhenUsed/>
    <w:rsid w:val="00A91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2C58"/>
    <w:rPr>
      <w:b/>
      <w:bCs/>
    </w:rPr>
  </w:style>
  <w:style w:type="character" w:customStyle="1" w:styleId="CommentSubjectChar">
    <w:name w:val="Comment Subject Char"/>
    <w:basedOn w:val="CommentTextChar"/>
    <w:link w:val="CommentSubject"/>
    <w:uiPriority w:val="99"/>
    <w:semiHidden/>
    <w:rsid w:val="00022C58"/>
    <w:rPr>
      <w:b/>
      <w:bCs/>
      <w:sz w:val="20"/>
      <w:szCs w:val="20"/>
    </w:rPr>
  </w:style>
  <w:style w:type="table" w:styleId="TableGrid">
    <w:name w:val="Table Grid"/>
    <w:basedOn w:val="TableNormal"/>
    <w:uiPriority w:val="39"/>
    <w:rsid w:val="0029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000"/>
    <w:pPr>
      <w:spacing w:after="0" w:line="240" w:lineRule="auto"/>
    </w:pPr>
  </w:style>
  <w:style w:type="character" w:styleId="FollowedHyperlink">
    <w:name w:val="FollowedHyperlink"/>
    <w:basedOn w:val="DefaultParagraphFont"/>
    <w:uiPriority w:val="99"/>
    <w:semiHidden/>
    <w:unhideWhenUsed/>
    <w:rsid w:val="00E40761"/>
    <w:rPr>
      <w:color w:val="954F72" w:themeColor="followedHyperlink"/>
      <w:u w:val="single"/>
    </w:rPr>
  </w:style>
  <w:style w:type="character" w:customStyle="1" w:styleId="UnresolvedMention">
    <w:name w:val="Unresolved Mention"/>
    <w:basedOn w:val="DefaultParagraphFont"/>
    <w:uiPriority w:val="99"/>
    <w:semiHidden/>
    <w:unhideWhenUsed/>
    <w:rsid w:val="007F2C3E"/>
    <w:rPr>
      <w:color w:val="605E5C"/>
      <w:shd w:val="clear" w:color="auto" w:fill="E1DFDD"/>
    </w:rPr>
  </w:style>
  <w:style w:type="paragraph" w:styleId="Header">
    <w:name w:val="header"/>
    <w:basedOn w:val="Normal"/>
    <w:link w:val="HeaderChar"/>
    <w:uiPriority w:val="99"/>
    <w:unhideWhenUsed/>
    <w:rsid w:val="006E54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54A6"/>
  </w:style>
  <w:style w:type="paragraph" w:styleId="Footer">
    <w:name w:val="footer"/>
    <w:basedOn w:val="Normal"/>
    <w:link w:val="FooterChar"/>
    <w:uiPriority w:val="99"/>
    <w:unhideWhenUsed/>
    <w:rsid w:val="006E54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54A6"/>
  </w:style>
  <w:style w:type="table" w:customStyle="1" w:styleId="Grilledutableau1">
    <w:name w:val="Grille du tableau1"/>
    <w:basedOn w:val="TableNormal"/>
    <w:next w:val="TableGrid"/>
    <w:uiPriority w:val="99"/>
    <w:rsid w:val="00D65A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015">
      <w:bodyDiv w:val="1"/>
      <w:marLeft w:val="0"/>
      <w:marRight w:val="0"/>
      <w:marTop w:val="0"/>
      <w:marBottom w:val="0"/>
      <w:divBdr>
        <w:top w:val="none" w:sz="0" w:space="0" w:color="auto"/>
        <w:left w:val="none" w:sz="0" w:space="0" w:color="auto"/>
        <w:bottom w:val="none" w:sz="0" w:space="0" w:color="auto"/>
        <w:right w:val="none" w:sz="0" w:space="0" w:color="auto"/>
      </w:divBdr>
    </w:div>
    <w:div w:id="401566087">
      <w:bodyDiv w:val="1"/>
      <w:marLeft w:val="0"/>
      <w:marRight w:val="0"/>
      <w:marTop w:val="0"/>
      <w:marBottom w:val="0"/>
      <w:divBdr>
        <w:top w:val="none" w:sz="0" w:space="0" w:color="auto"/>
        <w:left w:val="none" w:sz="0" w:space="0" w:color="auto"/>
        <w:bottom w:val="none" w:sz="0" w:space="0" w:color="auto"/>
        <w:right w:val="none" w:sz="0" w:space="0" w:color="auto"/>
      </w:divBdr>
    </w:div>
    <w:div w:id="928008094">
      <w:bodyDiv w:val="1"/>
      <w:marLeft w:val="0"/>
      <w:marRight w:val="0"/>
      <w:marTop w:val="0"/>
      <w:marBottom w:val="0"/>
      <w:divBdr>
        <w:top w:val="none" w:sz="0" w:space="0" w:color="auto"/>
        <w:left w:val="none" w:sz="0" w:space="0" w:color="auto"/>
        <w:bottom w:val="none" w:sz="0" w:space="0" w:color="auto"/>
        <w:right w:val="none" w:sz="0" w:space="0" w:color="auto"/>
      </w:divBdr>
    </w:div>
    <w:div w:id="1180393591">
      <w:bodyDiv w:val="1"/>
      <w:marLeft w:val="0"/>
      <w:marRight w:val="0"/>
      <w:marTop w:val="0"/>
      <w:marBottom w:val="0"/>
      <w:divBdr>
        <w:top w:val="none" w:sz="0" w:space="0" w:color="auto"/>
        <w:left w:val="none" w:sz="0" w:space="0" w:color="auto"/>
        <w:bottom w:val="none" w:sz="0" w:space="0" w:color="auto"/>
        <w:right w:val="none" w:sz="0" w:space="0" w:color="auto"/>
      </w:divBdr>
    </w:div>
    <w:div w:id="1202862278">
      <w:bodyDiv w:val="1"/>
      <w:marLeft w:val="0"/>
      <w:marRight w:val="0"/>
      <w:marTop w:val="0"/>
      <w:marBottom w:val="0"/>
      <w:divBdr>
        <w:top w:val="none" w:sz="0" w:space="0" w:color="auto"/>
        <w:left w:val="none" w:sz="0" w:space="0" w:color="auto"/>
        <w:bottom w:val="none" w:sz="0" w:space="0" w:color="auto"/>
        <w:right w:val="none" w:sz="0" w:space="0" w:color="auto"/>
      </w:divBdr>
    </w:div>
    <w:div w:id="1218711824">
      <w:bodyDiv w:val="1"/>
      <w:marLeft w:val="0"/>
      <w:marRight w:val="0"/>
      <w:marTop w:val="0"/>
      <w:marBottom w:val="0"/>
      <w:divBdr>
        <w:top w:val="none" w:sz="0" w:space="0" w:color="auto"/>
        <w:left w:val="none" w:sz="0" w:space="0" w:color="auto"/>
        <w:bottom w:val="none" w:sz="0" w:space="0" w:color="auto"/>
        <w:right w:val="none" w:sz="0" w:space="0" w:color="auto"/>
      </w:divBdr>
    </w:div>
    <w:div w:id="1227497410">
      <w:bodyDiv w:val="1"/>
      <w:marLeft w:val="0"/>
      <w:marRight w:val="0"/>
      <w:marTop w:val="0"/>
      <w:marBottom w:val="0"/>
      <w:divBdr>
        <w:top w:val="none" w:sz="0" w:space="0" w:color="auto"/>
        <w:left w:val="none" w:sz="0" w:space="0" w:color="auto"/>
        <w:bottom w:val="none" w:sz="0" w:space="0" w:color="auto"/>
        <w:right w:val="none" w:sz="0" w:space="0" w:color="auto"/>
      </w:divBdr>
    </w:div>
    <w:div w:id="1257206213">
      <w:bodyDiv w:val="1"/>
      <w:marLeft w:val="0"/>
      <w:marRight w:val="0"/>
      <w:marTop w:val="0"/>
      <w:marBottom w:val="0"/>
      <w:divBdr>
        <w:top w:val="none" w:sz="0" w:space="0" w:color="auto"/>
        <w:left w:val="none" w:sz="0" w:space="0" w:color="auto"/>
        <w:bottom w:val="none" w:sz="0" w:space="0" w:color="auto"/>
        <w:right w:val="none" w:sz="0" w:space="0" w:color="auto"/>
      </w:divBdr>
    </w:div>
    <w:div w:id="1312638910">
      <w:bodyDiv w:val="1"/>
      <w:marLeft w:val="0"/>
      <w:marRight w:val="0"/>
      <w:marTop w:val="0"/>
      <w:marBottom w:val="0"/>
      <w:divBdr>
        <w:top w:val="none" w:sz="0" w:space="0" w:color="auto"/>
        <w:left w:val="none" w:sz="0" w:space="0" w:color="auto"/>
        <w:bottom w:val="none" w:sz="0" w:space="0" w:color="auto"/>
        <w:right w:val="none" w:sz="0" w:space="0" w:color="auto"/>
      </w:divBdr>
    </w:div>
    <w:div w:id="1342002817">
      <w:bodyDiv w:val="1"/>
      <w:marLeft w:val="0"/>
      <w:marRight w:val="0"/>
      <w:marTop w:val="0"/>
      <w:marBottom w:val="0"/>
      <w:divBdr>
        <w:top w:val="none" w:sz="0" w:space="0" w:color="auto"/>
        <w:left w:val="none" w:sz="0" w:space="0" w:color="auto"/>
        <w:bottom w:val="none" w:sz="0" w:space="0" w:color="auto"/>
        <w:right w:val="none" w:sz="0" w:space="0" w:color="auto"/>
      </w:divBdr>
    </w:div>
    <w:div w:id="1382902299">
      <w:bodyDiv w:val="1"/>
      <w:marLeft w:val="0"/>
      <w:marRight w:val="0"/>
      <w:marTop w:val="0"/>
      <w:marBottom w:val="0"/>
      <w:divBdr>
        <w:top w:val="none" w:sz="0" w:space="0" w:color="auto"/>
        <w:left w:val="none" w:sz="0" w:space="0" w:color="auto"/>
        <w:bottom w:val="none" w:sz="0" w:space="0" w:color="auto"/>
        <w:right w:val="none" w:sz="0" w:space="0" w:color="auto"/>
      </w:divBdr>
    </w:div>
    <w:div w:id="2141065861">
      <w:bodyDiv w:val="1"/>
      <w:marLeft w:val="0"/>
      <w:marRight w:val="0"/>
      <w:marTop w:val="0"/>
      <w:marBottom w:val="0"/>
      <w:divBdr>
        <w:top w:val="none" w:sz="0" w:space="0" w:color="auto"/>
        <w:left w:val="none" w:sz="0" w:space="0" w:color="auto"/>
        <w:bottom w:val="none" w:sz="0" w:space="0" w:color="auto"/>
        <w:right w:val="none" w:sz="0" w:space="0" w:color="auto"/>
      </w:divBdr>
      <w:divsChild>
        <w:div w:id="55832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qualite-air/lignes-directrices-qualite-air-interieur-residentie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fr/sante-canada/services/qualite-air/lignes-directrices-qualite-air-interieur-residentiel/processus-etablissement-priorites-evaluation-risques-contaminants-air-interieur.html" TargetMode="External"/><Relationship Id="rId12" Type="http://schemas.openxmlformats.org/officeDocument/2006/relationships/hyperlink" Target="https://www.canada.ca/fr/sante-canada/services/publications/vie-saine/lignes-directrices-relatives-espaces-antifumee-pendant-episodes-fumee-feux-for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publications/vie-saine/fiche-renseignements-amelioration-qualite-air-arenas.html" TargetMode="External"/><Relationship Id="rId5" Type="http://schemas.openxmlformats.org/officeDocument/2006/relationships/footnotes" Target="footnotes.xml"/><Relationship Id="rId10" Type="http://schemas.openxmlformats.org/officeDocument/2006/relationships/hyperlink" Target="mailto:HC.air.SC@canada.ca" TargetMode="External"/><Relationship Id="rId4" Type="http://schemas.openxmlformats.org/officeDocument/2006/relationships/webSettings" Target="webSettings.xml"/><Relationship Id="rId9" Type="http://schemas.openxmlformats.org/officeDocument/2006/relationships/hyperlink" Target="https://www.canada.ca/fr/sante-canada/services/publications/vie-saine/niveaux-de-reference-dans-air-interieu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5479</Characters>
  <Application>Microsoft Office Word</Application>
  <DocSecurity>12</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Health Canada - Santé Canada</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Wille</dc:creator>
  <cp:keywords/>
  <dc:description/>
  <cp:lastModifiedBy>Jocelyn Moore</cp:lastModifiedBy>
  <cp:revision>2</cp:revision>
  <dcterms:created xsi:type="dcterms:W3CDTF">2021-06-25T15:41:00Z</dcterms:created>
  <dcterms:modified xsi:type="dcterms:W3CDTF">2021-06-25T15:41:00Z</dcterms:modified>
</cp:coreProperties>
</file>