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879CF" w14:textId="3AA2A65E" w:rsidR="00F50095" w:rsidRDefault="00F50095" w:rsidP="00A91C80">
      <w:r w:rsidRPr="00B75FD5">
        <w:rPr>
          <w:b/>
          <w:sz w:val="28"/>
        </w:rPr>
        <w:t xml:space="preserve">Health Canada invites you to </w:t>
      </w:r>
      <w:r w:rsidR="0011406C">
        <w:rPr>
          <w:b/>
          <w:sz w:val="28"/>
        </w:rPr>
        <w:t>share your views on</w:t>
      </w:r>
      <w:r w:rsidRPr="00B75FD5">
        <w:rPr>
          <w:b/>
          <w:sz w:val="28"/>
        </w:rPr>
        <w:t xml:space="preserve"> </w:t>
      </w:r>
      <w:r w:rsidR="0011406C">
        <w:rPr>
          <w:b/>
          <w:sz w:val="28"/>
        </w:rPr>
        <w:t xml:space="preserve">prioritizing </w:t>
      </w:r>
      <w:r w:rsidRPr="00B75FD5">
        <w:rPr>
          <w:b/>
          <w:sz w:val="28"/>
        </w:rPr>
        <w:t xml:space="preserve">indoor air quality </w:t>
      </w:r>
      <w:r w:rsidR="0011406C">
        <w:rPr>
          <w:b/>
          <w:sz w:val="28"/>
        </w:rPr>
        <w:t>issues</w:t>
      </w:r>
    </w:p>
    <w:p w14:paraId="095E2E74" w14:textId="1D0C6A74" w:rsidR="00C8010B" w:rsidRDefault="00C8010B" w:rsidP="00F7705C">
      <w:r>
        <w:t xml:space="preserve">Health Canada’s </w:t>
      </w:r>
      <w:r w:rsidR="009730CB">
        <w:t>Indoor Air Quality Program</w:t>
      </w:r>
      <w:r>
        <w:t xml:space="preserve"> </w:t>
      </w:r>
      <w:r w:rsidRPr="000A363D">
        <w:t>develo</w:t>
      </w:r>
      <w:r>
        <w:t>ps</w:t>
      </w:r>
      <w:r w:rsidRPr="000A363D">
        <w:t xml:space="preserve"> </w:t>
      </w:r>
      <w:r w:rsidR="000E6CD9">
        <w:t xml:space="preserve">guidelines and other forms of guidance </w:t>
      </w:r>
      <w:r w:rsidRPr="000A363D">
        <w:t>and promot</w:t>
      </w:r>
      <w:r>
        <w:t>es</w:t>
      </w:r>
      <w:r w:rsidRPr="000A363D">
        <w:t xml:space="preserve"> best practices to improve ind</w:t>
      </w:r>
      <w:bookmarkStart w:id="0" w:name="_GoBack"/>
      <w:bookmarkEnd w:id="0"/>
      <w:r w:rsidRPr="000A363D">
        <w:t xml:space="preserve">oor air quality by assessing, researching, and communicating the health </w:t>
      </w:r>
      <w:r w:rsidR="00C730EF">
        <w:t xml:space="preserve">effects </w:t>
      </w:r>
      <w:r w:rsidRPr="000A363D">
        <w:t xml:space="preserve">of indoor air pollutants and strategies to reduce exposure. </w:t>
      </w:r>
      <w:r w:rsidR="009730CB">
        <w:t>H</w:t>
      </w:r>
      <w:r w:rsidR="00174A75">
        <w:t xml:space="preserve">ealth </w:t>
      </w:r>
      <w:r w:rsidR="009730CB">
        <w:t>C</w:t>
      </w:r>
      <w:r w:rsidR="00174A75">
        <w:t>anada</w:t>
      </w:r>
      <w:r w:rsidR="009730CB">
        <w:t xml:space="preserve">’s indoor air </w:t>
      </w:r>
      <w:r>
        <w:t xml:space="preserve">publications are intended </w:t>
      </w:r>
      <w:r w:rsidRPr="002019FD">
        <w:t xml:space="preserve">to support the needs and activities of provinces, territories, municipalities, </w:t>
      </w:r>
      <w:r>
        <w:t xml:space="preserve">non-governmental organizations, industry, </w:t>
      </w:r>
      <w:r w:rsidRPr="002019FD">
        <w:t>and other federal agencies and departments</w:t>
      </w:r>
      <w:r>
        <w:t>, as well as the Canadian public directly</w:t>
      </w:r>
      <w:r w:rsidRPr="002019FD">
        <w:t xml:space="preserve">. </w:t>
      </w:r>
    </w:p>
    <w:p w14:paraId="7305BF29" w14:textId="005C96DF" w:rsidR="00F7705C" w:rsidRDefault="009730CB" w:rsidP="00F7705C">
      <w:r>
        <w:t>Health Canada</w:t>
      </w:r>
      <w:r w:rsidR="0011406C" w:rsidRPr="0011406C">
        <w:t xml:space="preserve"> has developed a process to prioritize indoor air contaminants for assessment</w:t>
      </w:r>
      <w:r w:rsidR="0011406C">
        <w:t>.</w:t>
      </w:r>
      <w:r w:rsidR="0011406C" w:rsidRPr="0011406C">
        <w:t xml:space="preserve"> </w:t>
      </w:r>
      <w:r w:rsidR="006325E5">
        <w:t xml:space="preserve">This process is </w:t>
      </w:r>
      <w:r w:rsidR="00A91C80">
        <w:t xml:space="preserve">to be conducted approximately every three years. </w:t>
      </w:r>
      <w:r w:rsidR="00F7705C">
        <w:t xml:space="preserve">An overview of the process is available online at: </w:t>
      </w:r>
    </w:p>
    <w:p w14:paraId="3E837750" w14:textId="77777777" w:rsidR="00F7705C" w:rsidRDefault="00495A19" w:rsidP="00F7705C">
      <w:pPr>
        <w:rPr>
          <w:rStyle w:val="Hyperlink"/>
        </w:rPr>
      </w:pPr>
      <w:hyperlink r:id="rId5" w:history="1">
        <w:r w:rsidR="00F7705C" w:rsidRPr="009F15D9">
          <w:rPr>
            <w:rStyle w:val="Hyperlink"/>
          </w:rPr>
          <w:t>https://www.canada.ca/en/health-canada/services/air-quality/residential-indoor-air-quality-guidelines/risk-assessment-prioritization-process-indoor-air-contaminants.html</w:t>
        </w:r>
      </w:hyperlink>
    </w:p>
    <w:p w14:paraId="7E2748E3" w14:textId="3730BC18" w:rsidR="006325E5" w:rsidRDefault="00BB202B" w:rsidP="00A91C80">
      <w:r>
        <w:t xml:space="preserve">Greater priority is assigned to contaminants for which there is new information suggesting a health concern due to inhalation exposure at levels that may be found in indoor air. </w:t>
      </w:r>
      <w:r w:rsidR="00A91C80" w:rsidRPr="007039C9">
        <w:t xml:space="preserve">However, the decision </w:t>
      </w:r>
      <w:r w:rsidR="00A91C80">
        <w:t xml:space="preserve">on next steps for each contaminant also involves consideration of </w:t>
      </w:r>
      <w:r w:rsidR="00A91C80" w:rsidRPr="007039C9">
        <w:t xml:space="preserve">other criteria, such as </w:t>
      </w:r>
      <w:r w:rsidR="000E6CD9">
        <w:t>availability of data</w:t>
      </w:r>
      <w:r w:rsidR="00A91C80">
        <w:t>, stakeholder requests, partner needs, and other government</w:t>
      </w:r>
      <w:r w:rsidR="007F3BCE">
        <w:t>al</w:t>
      </w:r>
      <w:r w:rsidR="00A91C80">
        <w:t xml:space="preserve"> activities</w:t>
      </w:r>
      <w:r>
        <w:t>. P</w:t>
      </w:r>
      <w:r w:rsidR="00A91C80">
        <w:t>ossible outcomes include</w:t>
      </w:r>
      <w:r w:rsidR="006325E5">
        <w:t>:</w:t>
      </w:r>
    </w:p>
    <w:p w14:paraId="57FEF596" w14:textId="39F78DB5" w:rsidR="006325E5" w:rsidRPr="00092CD6" w:rsidRDefault="00A91C80" w:rsidP="0011406C">
      <w:pPr>
        <w:pStyle w:val="ListParagraph"/>
        <w:numPr>
          <w:ilvl w:val="0"/>
          <w:numId w:val="5"/>
        </w:numPr>
        <w:rPr>
          <w:u w:val="single"/>
        </w:rPr>
      </w:pPr>
      <w:r w:rsidRPr="00092CD6">
        <w:t xml:space="preserve">development of an </w:t>
      </w:r>
      <w:hyperlink r:id="rId6" w:history="1">
        <w:r w:rsidRPr="006043D8">
          <w:rPr>
            <w:rStyle w:val="Hyperlink"/>
          </w:rPr>
          <w:t>R</w:t>
        </w:r>
        <w:r w:rsidR="00A57994" w:rsidRPr="006043D8">
          <w:rPr>
            <w:rStyle w:val="Hyperlink"/>
          </w:rPr>
          <w:t xml:space="preserve">esidential </w:t>
        </w:r>
        <w:r w:rsidRPr="006043D8">
          <w:rPr>
            <w:rStyle w:val="Hyperlink"/>
          </w:rPr>
          <w:t>I</w:t>
        </w:r>
        <w:r w:rsidR="00A57994" w:rsidRPr="006043D8">
          <w:rPr>
            <w:rStyle w:val="Hyperlink"/>
          </w:rPr>
          <w:t xml:space="preserve">ndoor </w:t>
        </w:r>
        <w:r w:rsidRPr="006043D8">
          <w:rPr>
            <w:rStyle w:val="Hyperlink"/>
          </w:rPr>
          <w:t>A</w:t>
        </w:r>
        <w:r w:rsidR="00A57994" w:rsidRPr="006043D8">
          <w:rPr>
            <w:rStyle w:val="Hyperlink"/>
          </w:rPr>
          <w:t xml:space="preserve">ir </w:t>
        </w:r>
        <w:r w:rsidRPr="006043D8">
          <w:rPr>
            <w:rStyle w:val="Hyperlink"/>
          </w:rPr>
          <w:t>Q</w:t>
        </w:r>
        <w:r w:rsidR="00A57994" w:rsidRPr="006043D8">
          <w:rPr>
            <w:rStyle w:val="Hyperlink"/>
          </w:rPr>
          <w:t xml:space="preserve">uality </w:t>
        </w:r>
        <w:r w:rsidRPr="006043D8">
          <w:rPr>
            <w:rStyle w:val="Hyperlink"/>
          </w:rPr>
          <w:t>G</w:t>
        </w:r>
        <w:r w:rsidR="00A57994" w:rsidRPr="006043D8">
          <w:rPr>
            <w:rStyle w:val="Hyperlink"/>
          </w:rPr>
          <w:t>uideline</w:t>
        </w:r>
      </w:hyperlink>
      <w:r w:rsidR="006325E5" w:rsidRPr="00092CD6">
        <w:t>;</w:t>
      </w:r>
    </w:p>
    <w:p w14:paraId="7B7A7533" w14:textId="5DD32BC8" w:rsidR="006325E5" w:rsidRPr="005A5C38" w:rsidRDefault="00A91C80" w:rsidP="0011406C">
      <w:pPr>
        <w:pStyle w:val="ListParagraph"/>
        <w:numPr>
          <w:ilvl w:val="0"/>
          <w:numId w:val="5"/>
        </w:numPr>
        <w:rPr>
          <w:u w:val="single"/>
        </w:rPr>
      </w:pPr>
      <w:r w:rsidRPr="00092CD6">
        <w:t xml:space="preserve">proposal of an </w:t>
      </w:r>
      <w:hyperlink r:id="rId7" w:history="1">
        <w:r w:rsidRPr="006043D8">
          <w:rPr>
            <w:rStyle w:val="Hyperlink"/>
          </w:rPr>
          <w:t>I</w:t>
        </w:r>
        <w:r w:rsidR="00A57994" w:rsidRPr="006043D8">
          <w:rPr>
            <w:rStyle w:val="Hyperlink"/>
          </w:rPr>
          <w:t xml:space="preserve">ndoor </w:t>
        </w:r>
        <w:r w:rsidRPr="006043D8">
          <w:rPr>
            <w:rStyle w:val="Hyperlink"/>
          </w:rPr>
          <w:t>A</w:t>
        </w:r>
        <w:r w:rsidR="00A57994" w:rsidRPr="006043D8">
          <w:rPr>
            <w:rStyle w:val="Hyperlink"/>
          </w:rPr>
          <w:t xml:space="preserve">ir </w:t>
        </w:r>
        <w:r w:rsidRPr="006043D8">
          <w:rPr>
            <w:rStyle w:val="Hyperlink"/>
          </w:rPr>
          <w:t>R</w:t>
        </w:r>
        <w:r w:rsidR="00A57994" w:rsidRPr="006043D8">
          <w:rPr>
            <w:rStyle w:val="Hyperlink"/>
          </w:rPr>
          <w:t xml:space="preserve">eference </w:t>
        </w:r>
        <w:r w:rsidRPr="006043D8">
          <w:rPr>
            <w:rStyle w:val="Hyperlink"/>
          </w:rPr>
          <w:t>L</w:t>
        </w:r>
        <w:r w:rsidR="00A57994" w:rsidRPr="006043D8">
          <w:rPr>
            <w:rStyle w:val="Hyperlink"/>
          </w:rPr>
          <w:t>evel</w:t>
        </w:r>
      </w:hyperlink>
      <w:r w:rsidR="006325E5" w:rsidRPr="00092CD6">
        <w:t>;</w:t>
      </w:r>
    </w:p>
    <w:p w14:paraId="21D510D6" w14:textId="7FBBCFE8" w:rsidR="000E6CD9" w:rsidRPr="00092CD6" w:rsidRDefault="000E6CD9" w:rsidP="0011406C">
      <w:pPr>
        <w:pStyle w:val="ListParagraph"/>
        <w:numPr>
          <w:ilvl w:val="0"/>
          <w:numId w:val="5"/>
        </w:numPr>
        <w:rPr>
          <w:u w:val="single"/>
        </w:rPr>
      </w:pPr>
      <w:r>
        <w:t>guidance or communication products;</w:t>
      </w:r>
    </w:p>
    <w:p w14:paraId="63696C5A" w14:textId="28EEEEE6" w:rsidR="006325E5" w:rsidRPr="00092CD6" w:rsidRDefault="009A4FE6" w:rsidP="0011406C">
      <w:pPr>
        <w:pStyle w:val="ListParagraph"/>
        <w:numPr>
          <w:ilvl w:val="0"/>
          <w:numId w:val="5"/>
        </w:numPr>
        <w:rPr>
          <w:u w:val="single"/>
        </w:rPr>
      </w:pPr>
      <w:r w:rsidRPr="00092CD6">
        <w:t xml:space="preserve">inclusion in </w:t>
      </w:r>
      <w:r w:rsidR="00A91C80" w:rsidRPr="00092CD6">
        <w:t>indoor air exposure studies</w:t>
      </w:r>
      <w:r w:rsidR="006325E5" w:rsidRPr="00092CD6">
        <w:t>;</w:t>
      </w:r>
      <w:r w:rsidRPr="00092CD6">
        <w:t xml:space="preserve"> or </w:t>
      </w:r>
    </w:p>
    <w:p w14:paraId="06D61364" w14:textId="6B15C5C4" w:rsidR="00A91C80" w:rsidRPr="00092CD6" w:rsidRDefault="006325E5" w:rsidP="0011406C">
      <w:pPr>
        <w:pStyle w:val="ListParagraph"/>
        <w:numPr>
          <w:ilvl w:val="0"/>
          <w:numId w:val="5"/>
        </w:numPr>
        <w:rPr>
          <w:rStyle w:val="Hyperlink"/>
          <w:color w:val="auto"/>
        </w:rPr>
      </w:pPr>
      <w:r w:rsidRPr="00092CD6">
        <w:t>consideration</w:t>
      </w:r>
      <w:r w:rsidR="009A4FE6" w:rsidRPr="00092CD6">
        <w:t xml:space="preserve"> in subsequent prioritization exercises</w:t>
      </w:r>
      <w:r w:rsidR="00A91C80" w:rsidRPr="00092CD6">
        <w:t xml:space="preserve">. </w:t>
      </w:r>
      <w:r w:rsidR="00F7705C" w:rsidRPr="00092CD6" w:rsidDel="00F7705C">
        <w:t xml:space="preserve"> </w:t>
      </w:r>
    </w:p>
    <w:p w14:paraId="06F3166F" w14:textId="3B316252" w:rsidR="007627F0" w:rsidRDefault="009E4611" w:rsidP="009E4611">
      <w:pPr>
        <w:rPr>
          <w:b/>
        </w:rPr>
      </w:pPr>
      <w:r>
        <w:t xml:space="preserve">We are interested in your perspective on </w:t>
      </w:r>
      <w:r w:rsidR="00830F6F">
        <w:t>priorities in terms of individual</w:t>
      </w:r>
      <w:r w:rsidR="009D55BB">
        <w:t xml:space="preserve"> and </w:t>
      </w:r>
      <w:r w:rsidR="00830F6F">
        <w:t>classes of indoor air contaminants for which a health-based exposure limit may be benefi</w:t>
      </w:r>
      <w:r w:rsidR="009D55BB">
        <w:t>cial; as well as</w:t>
      </w:r>
      <w:r w:rsidR="00830F6F">
        <w:t xml:space="preserve"> broader indoor air issues</w:t>
      </w:r>
      <w:r>
        <w:t>, sources,</w:t>
      </w:r>
      <w:r w:rsidR="00830F6F">
        <w:t xml:space="preserve"> </w:t>
      </w:r>
      <w:r w:rsidR="009D55BB">
        <w:t xml:space="preserve">and </w:t>
      </w:r>
      <w:r w:rsidR="00830F6F">
        <w:t xml:space="preserve">indoor environments (residential and non-residential) </w:t>
      </w:r>
      <w:r>
        <w:lastRenderedPageBreak/>
        <w:t>of concern.</w:t>
      </w:r>
      <w:r w:rsidR="00BB202B" w:rsidRPr="00BB202B">
        <w:t xml:space="preserve"> </w:t>
      </w:r>
      <w:r w:rsidR="00BB202B">
        <w:t>Therefore, we would appreciate your responses to the questions below.</w:t>
      </w:r>
      <w:r w:rsidR="00092CD6">
        <w:t xml:space="preserve"> </w:t>
      </w:r>
      <w:r w:rsidR="00092CD6" w:rsidRPr="00725BFA">
        <w:rPr>
          <w:b/>
        </w:rPr>
        <w:t>Replies should be sent to</w:t>
      </w:r>
      <w:r w:rsidR="001D79B3">
        <w:rPr>
          <w:b/>
        </w:rPr>
        <w:t xml:space="preserve"> the Air Quality </w:t>
      </w:r>
      <w:r w:rsidR="001D79B3" w:rsidRPr="001D79B3">
        <w:rPr>
          <w:b/>
        </w:rPr>
        <w:t>Program [</w:t>
      </w:r>
      <w:hyperlink r:id="rId8" w:history="1">
        <w:r w:rsidR="007C7A35" w:rsidRPr="000402C0">
          <w:rPr>
            <w:rStyle w:val="Hyperlink"/>
            <w:b/>
          </w:rPr>
          <w:t>HC.air.SC@canada.ca</w:t>
        </w:r>
      </w:hyperlink>
      <w:r w:rsidR="001D79B3" w:rsidRPr="001D79B3">
        <w:rPr>
          <w:rFonts w:ascii="Calibri" w:eastAsia="Times New Roman" w:hAnsi="Calibri" w:cs="Calibri"/>
          <w:b/>
          <w:lang w:eastAsia="en-CA"/>
        </w:rPr>
        <w:t xml:space="preserve">] </w:t>
      </w:r>
      <w:r w:rsidR="006B4D3B" w:rsidRPr="001D79B3">
        <w:rPr>
          <w:b/>
        </w:rPr>
        <w:t xml:space="preserve">by </w:t>
      </w:r>
      <w:r w:rsidR="001D79B3" w:rsidRPr="001D79B3">
        <w:rPr>
          <w:b/>
        </w:rPr>
        <w:t xml:space="preserve">July </w:t>
      </w:r>
      <w:r w:rsidR="006932E7">
        <w:rPr>
          <w:b/>
        </w:rPr>
        <w:t>30</w:t>
      </w:r>
      <w:r w:rsidR="006B4D3B" w:rsidRPr="001D79B3">
        <w:rPr>
          <w:b/>
        </w:rPr>
        <w:t>.</w:t>
      </w:r>
    </w:p>
    <w:p w14:paraId="45A581EC" w14:textId="77777777" w:rsidR="002D776F" w:rsidRDefault="002D776F" w:rsidP="009E4611">
      <w:pPr>
        <w:rPr>
          <w:b/>
        </w:rPr>
      </w:pPr>
    </w:p>
    <w:tbl>
      <w:tblPr>
        <w:tblStyle w:val="Grilledutableau1"/>
        <w:tblW w:w="9351" w:type="dxa"/>
        <w:tblLook w:val="04A0" w:firstRow="1" w:lastRow="0" w:firstColumn="1" w:lastColumn="0" w:noHBand="0" w:noVBand="1"/>
      </w:tblPr>
      <w:tblGrid>
        <w:gridCol w:w="1838"/>
        <w:gridCol w:w="7513"/>
      </w:tblGrid>
      <w:tr w:rsidR="00E20871" w:rsidRPr="005A0145" w14:paraId="6C8C9F97" w14:textId="77777777" w:rsidTr="008E308D">
        <w:trPr>
          <w:trHeight w:val="432"/>
        </w:trPr>
        <w:tc>
          <w:tcPr>
            <w:tcW w:w="1838" w:type="dxa"/>
            <w:shd w:val="clear" w:color="auto" w:fill="D5DCE4" w:themeFill="text2" w:themeFillTint="33"/>
            <w:vAlign w:val="center"/>
          </w:tcPr>
          <w:p w14:paraId="022897D5" w14:textId="01C72A8A" w:rsidR="00E20871" w:rsidRPr="005A0145" w:rsidRDefault="00E20871" w:rsidP="002D776F">
            <w:pPr>
              <w:rPr>
                <w:rFonts w:cs="Arial"/>
                <w:bCs/>
                <w:noProof/>
                <w:color w:val="000000" w:themeColor="text1"/>
              </w:rPr>
            </w:pPr>
            <w:permStart w:id="849481482" w:edGrp="everyone" w:colFirst="1" w:colLast="1"/>
            <w:r>
              <w:rPr>
                <w:rFonts w:cs="Arial"/>
                <w:bCs/>
                <w:noProof/>
                <w:color w:val="000000" w:themeColor="text1"/>
              </w:rPr>
              <w:t>Name</w:t>
            </w:r>
          </w:p>
        </w:tc>
        <w:tc>
          <w:tcPr>
            <w:tcW w:w="7513" w:type="dxa"/>
            <w:vAlign w:val="center"/>
          </w:tcPr>
          <w:p w14:paraId="6A557C40" w14:textId="77777777" w:rsidR="00E20871" w:rsidRPr="005A0145" w:rsidRDefault="00E20871" w:rsidP="008E308D">
            <w:pPr>
              <w:rPr>
                <w:rFonts w:cs="Arial"/>
                <w:bCs/>
                <w:noProof/>
                <w:color w:val="000000" w:themeColor="text1"/>
                <w:sz w:val="20"/>
                <w:szCs w:val="20"/>
              </w:rPr>
            </w:pPr>
          </w:p>
        </w:tc>
      </w:tr>
      <w:tr w:rsidR="00E20871" w:rsidRPr="005A0145" w14:paraId="0C18E2AE" w14:textId="77777777" w:rsidTr="008E308D">
        <w:trPr>
          <w:trHeight w:val="432"/>
        </w:trPr>
        <w:tc>
          <w:tcPr>
            <w:tcW w:w="1838" w:type="dxa"/>
            <w:shd w:val="clear" w:color="auto" w:fill="D5DCE4" w:themeFill="text2" w:themeFillTint="33"/>
            <w:vAlign w:val="center"/>
          </w:tcPr>
          <w:p w14:paraId="69D34A81" w14:textId="7D08FDC6" w:rsidR="00E20871" w:rsidRPr="005A0145" w:rsidRDefault="00E20871" w:rsidP="002D776F">
            <w:pPr>
              <w:rPr>
                <w:rFonts w:cs="Arial"/>
                <w:bCs/>
                <w:noProof/>
                <w:color w:val="000000" w:themeColor="text1"/>
              </w:rPr>
            </w:pPr>
            <w:permStart w:id="1765225784" w:edGrp="everyone" w:colFirst="1" w:colLast="1"/>
            <w:permEnd w:id="849481482"/>
            <w:r>
              <w:rPr>
                <w:rFonts w:cs="Arial"/>
                <w:bCs/>
                <w:noProof/>
                <w:color w:val="000000" w:themeColor="text1"/>
              </w:rPr>
              <w:t>Organization</w:t>
            </w:r>
          </w:p>
        </w:tc>
        <w:tc>
          <w:tcPr>
            <w:tcW w:w="7513" w:type="dxa"/>
            <w:vAlign w:val="center"/>
          </w:tcPr>
          <w:p w14:paraId="69DE315E" w14:textId="77777777" w:rsidR="00E20871" w:rsidRPr="005A0145" w:rsidRDefault="00E20871" w:rsidP="008E308D">
            <w:pPr>
              <w:rPr>
                <w:rFonts w:cs="Arial"/>
                <w:bCs/>
                <w:noProof/>
                <w:color w:val="000000" w:themeColor="text1"/>
                <w:sz w:val="20"/>
                <w:szCs w:val="20"/>
              </w:rPr>
            </w:pPr>
          </w:p>
        </w:tc>
      </w:tr>
      <w:tr w:rsidR="002D776F" w:rsidRPr="005A0145" w14:paraId="4E713FA5" w14:textId="77777777" w:rsidTr="008E308D">
        <w:trPr>
          <w:trHeight w:val="432"/>
        </w:trPr>
        <w:tc>
          <w:tcPr>
            <w:tcW w:w="1838" w:type="dxa"/>
            <w:shd w:val="clear" w:color="auto" w:fill="D5DCE4" w:themeFill="text2" w:themeFillTint="33"/>
            <w:vAlign w:val="center"/>
          </w:tcPr>
          <w:p w14:paraId="0626C1B4" w14:textId="3F10A854" w:rsidR="002D776F" w:rsidRDefault="002D776F" w:rsidP="002D776F">
            <w:pPr>
              <w:rPr>
                <w:rFonts w:cs="Arial"/>
                <w:bCs/>
                <w:noProof/>
                <w:color w:val="000000" w:themeColor="text1"/>
              </w:rPr>
            </w:pPr>
            <w:permStart w:id="46999107" w:edGrp="everyone" w:colFirst="1" w:colLast="1"/>
            <w:permEnd w:id="1765225784"/>
            <w:r>
              <w:rPr>
                <w:rFonts w:cs="Arial"/>
                <w:bCs/>
                <w:noProof/>
                <w:color w:val="000000" w:themeColor="text1"/>
              </w:rPr>
              <w:t>Email</w:t>
            </w:r>
          </w:p>
        </w:tc>
        <w:tc>
          <w:tcPr>
            <w:tcW w:w="7513" w:type="dxa"/>
            <w:vAlign w:val="center"/>
          </w:tcPr>
          <w:p w14:paraId="17E1D9E7" w14:textId="77777777" w:rsidR="002D776F" w:rsidRPr="005A0145" w:rsidRDefault="002D776F" w:rsidP="008E308D">
            <w:pPr>
              <w:rPr>
                <w:rFonts w:cs="Arial"/>
                <w:bCs/>
                <w:noProof/>
                <w:color w:val="000000" w:themeColor="text1"/>
                <w:sz w:val="20"/>
                <w:szCs w:val="20"/>
              </w:rPr>
            </w:pPr>
          </w:p>
        </w:tc>
      </w:tr>
      <w:permEnd w:id="46999107"/>
    </w:tbl>
    <w:p w14:paraId="57FDDB53" w14:textId="7E9DCDF4" w:rsidR="007627F0" w:rsidRDefault="007627F0" w:rsidP="009E4611"/>
    <w:p w14:paraId="324E3140" w14:textId="77777777" w:rsidR="00FF5F23" w:rsidRDefault="00FF5F23" w:rsidP="009E4611"/>
    <w:p w14:paraId="7CC4377E" w14:textId="77777777" w:rsidR="00FF5F23" w:rsidRDefault="00FF5F23" w:rsidP="009E4611"/>
    <w:p w14:paraId="0E91D569" w14:textId="77777777" w:rsidR="00FF5F23" w:rsidRDefault="00FF5F23" w:rsidP="009E4611"/>
    <w:p w14:paraId="0B43044E" w14:textId="77777777" w:rsidR="00E20871" w:rsidRPr="002D776F" w:rsidRDefault="00E20871" w:rsidP="00E20871">
      <w:pPr>
        <w:spacing w:line="276" w:lineRule="auto"/>
        <w:rPr>
          <w:rFonts w:cs="Arial"/>
          <w:b/>
          <w:bCs/>
          <w:noProof/>
          <w:color w:val="000000" w:themeColor="text1"/>
          <w:u w:val="single"/>
        </w:rPr>
      </w:pPr>
      <w:r w:rsidRPr="002D776F">
        <w:rPr>
          <w:rFonts w:cs="Arial"/>
          <w:b/>
          <w:bCs/>
          <w:noProof/>
          <w:color w:val="000000" w:themeColor="text1"/>
          <w:u w:val="single"/>
        </w:rPr>
        <w:t>Question 1:</w:t>
      </w:r>
    </w:p>
    <w:p w14:paraId="144A6689" w14:textId="2508CCE0" w:rsidR="00E20871" w:rsidRPr="002D776F" w:rsidRDefault="00E20871" w:rsidP="00E20871">
      <w:pPr>
        <w:spacing w:line="276" w:lineRule="auto"/>
        <w:rPr>
          <w:rFonts w:cs="Arial"/>
          <w:bCs/>
          <w:noProof/>
          <w:color w:val="000000" w:themeColor="text1"/>
        </w:rPr>
      </w:pPr>
      <w:r w:rsidRPr="002D776F">
        <w:rPr>
          <w:rFonts w:cs="Arial"/>
          <w:bCs/>
          <w:noProof/>
          <w:color w:val="000000" w:themeColor="text1"/>
        </w:rPr>
        <w:t>Please provide a list of indoor air contaminants for which a health-based exposure limit may be beneficial to your organization. Below is a list of contaminants that may be considered for health-risk based prioritization due to a variety of reasons, including identification of recent international assessments, new health effects data, or indications of increased exposure in certain scenarios. You may wish to use this list to identify contaminants of interest, but please note that you are not restricted to proposing contaminants on this list. In addition, information on the potential use of the health-based exposure limit(s) would be appreciated, if possible.</w:t>
      </w:r>
    </w:p>
    <w:p w14:paraId="321E220C" w14:textId="77777777" w:rsidR="002D776F" w:rsidRPr="002D776F" w:rsidRDefault="002D776F" w:rsidP="00FF5F23">
      <w:pPr>
        <w:spacing w:after="0" w:line="276" w:lineRule="auto"/>
        <w:rPr>
          <w:rFonts w:cs="Arial"/>
          <w:bCs/>
          <w:noProof/>
          <w:color w:val="000000" w:themeColor="text1"/>
        </w:rPr>
      </w:pPr>
      <w:r w:rsidRPr="002D776F">
        <w:rPr>
          <w:rFonts w:cs="Arial"/>
          <w:bCs/>
          <w:noProof/>
          <w:color w:val="000000" w:themeColor="text1"/>
        </w:rPr>
        <w:t>Response:</w:t>
      </w:r>
    </w:p>
    <w:tbl>
      <w:tblPr>
        <w:tblStyle w:val="TableGrid"/>
        <w:tblW w:w="0" w:type="auto"/>
        <w:tblLook w:val="04A0" w:firstRow="1" w:lastRow="0" w:firstColumn="1" w:lastColumn="0" w:noHBand="0" w:noVBand="1"/>
      </w:tblPr>
      <w:tblGrid>
        <w:gridCol w:w="9350"/>
      </w:tblGrid>
      <w:tr w:rsidR="002D776F" w:rsidRPr="002D776F" w14:paraId="56AC2E31" w14:textId="77777777" w:rsidTr="002D776F">
        <w:trPr>
          <w:trHeight w:val="1063"/>
        </w:trPr>
        <w:tc>
          <w:tcPr>
            <w:tcW w:w="9350"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tcPr>
          <w:p w14:paraId="054C5F47" w14:textId="77777777" w:rsidR="00E20871" w:rsidRPr="002D776F" w:rsidRDefault="00E20871" w:rsidP="008373C3">
            <w:pPr>
              <w:rPr>
                <w:rFonts w:cs="Arial"/>
                <w:bCs/>
                <w:noProof/>
                <w:color w:val="000000" w:themeColor="text1"/>
              </w:rPr>
            </w:pPr>
            <w:permStart w:id="908274434" w:edGrp="everyone" w:colFirst="0" w:colLast="0"/>
            <w:permStart w:id="311568746" w:edGrp="everyone" w:colFirst="1" w:colLast="1"/>
          </w:p>
          <w:p w14:paraId="6C48E69C" w14:textId="77777777" w:rsidR="00E20871" w:rsidRDefault="00E20871" w:rsidP="008373C3">
            <w:pPr>
              <w:rPr>
                <w:rFonts w:cs="Arial"/>
                <w:bCs/>
                <w:noProof/>
                <w:color w:val="000000" w:themeColor="text1"/>
              </w:rPr>
            </w:pPr>
          </w:p>
          <w:p w14:paraId="43C3D9F8" w14:textId="77777777" w:rsidR="002D776F" w:rsidRDefault="002D776F" w:rsidP="008373C3">
            <w:pPr>
              <w:rPr>
                <w:rFonts w:cs="Arial"/>
                <w:bCs/>
                <w:noProof/>
                <w:color w:val="000000" w:themeColor="text1"/>
              </w:rPr>
            </w:pPr>
          </w:p>
          <w:p w14:paraId="4B8DDD21" w14:textId="77777777" w:rsidR="002D776F" w:rsidRDefault="002D776F" w:rsidP="008373C3">
            <w:pPr>
              <w:rPr>
                <w:rFonts w:cs="Arial"/>
                <w:bCs/>
                <w:noProof/>
                <w:color w:val="000000" w:themeColor="text1"/>
              </w:rPr>
            </w:pPr>
          </w:p>
          <w:p w14:paraId="5DEFE189" w14:textId="77777777" w:rsidR="002D776F" w:rsidRPr="002D776F" w:rsidRDefault="002D776F" w:rsidP="008373C3">
            <w:pPr>
              <w:rPr>
                <w:rFonts w:cs="Arial"/>
                <w:bCs/>
                <w:noProof/>
                <w:color w:val="000000" w:themeColor="text1"/>
              </w:rPr>
            </w:pPr>
          </w:p>
        </w:tc>
      </w:tr>
      <w:permEnd w:id="908274434"/>
      <w:permEnd w:id="311568746"/>
    </w:tbl>
    <w:p w14:paraId="2674FD72" w14:textId="77777777" w:rsidR="00E20871" w:rsidRPr="002D776F" w:rsidRDefault="00E20871" w:rsidP="00E20871">
      <w:pPr>
        <w:rPr>
          <w:rFonts w:cs="Arial"/>
          <w:b/>
          <w:noProof/>
          <w:color w:val="000000" w:themeColor="text1"/>
        </w:rPr>
      </w:pPr>
    </w:p>
    <w:p w14:paraId="73F72BF0" w14:textId="77777777" w:rsidR="002D776F" w:rsidRPr="002D776F" w:rsidRDefault="002D776F" w:rsidP="002D776F">
      <w:pPr>
        <w:spacing w:line="276" w:lineRule="auto"/>
        <w:rPr>
          <w:rFonts w:cs="Arial"/>
          <w:b/>
          <w:bCs/>
          <w:noProof/>
          <w:color w:val="000000" w:themeColor="text1"/>
          <w:u w:val="single"/>
        </w:rPr>
      </w:pPr>
      <w:r w:rsidRPr="002D776F">
        <w:rPr>
          <w:rFonts w:cs="Arial"/>
          <w:b/>
          <w:bCs/>
          <w:noProof/>
          <w:color w:val="000000" w:themeColor="text1"/>
          <w:u w:val="single"/>
        </w:rPr>
        <w:lastRenderedPageBreak/>
        <w:t>Question 2:</w:t>
      </w:r>
    </w:p>
    <w:p w14:paraId="6C5D7EC9" w14:textId="54B0027F" w:rsidR="002D776F" w:rsidRPr="002D776F" w:rsidRDefault="002D776F" w:rsidP="002D776F">
      <w:pPr>
        <w:spacing w:line="276" w:lineRule="auto"/>
        <w:rPr>
          <w:rFonts w:cs="Arial"/>
          <w:bCs/>
          <w:noProof/>
          <w:color w:val="000000" w:themeColor="text1"/>
        </w:rPr>
      </w:pPr>
      <w:r w:rsidRPr="002D776F">
        <w:rPr>
          <w:rFonts w:cs="Arial"/>
          <w:bCs/>
          <w:noProof/>
          <w:color w:val="000000" w:themeColor="text1"/>
        </w:rPr>
        <w:t xml:space="preserve">Health Canada’s Indoor Air Quality Program has previously developed guidance for non-residential (i.e. public) indoor spaces, such as </w:t>
      </w:r>
      <w:hyperlink r:id="rId9" w:history="1">
        <w:r w:rsidRPr="002D776F">
          <w:rPr>
            <w:rStyle w:val="Hyperlink"/>
            <w:rFonts w:cs="Arial"/>
            <w:bCs/>
            <w:noProof/>
            <w:color w:val="000000" w:themeColor="text1"/>
          </w:rPr>
          <w:t>ice arenas</w:t>
        </w:r>
      </w:hyperlink>
      <w:r w:rsidRPr="002D776F">
        <w:rPr>
          <w:rFonts w:cs="Arial"/>
          <w:bCs/>
          <w:noProof/>
          <w:color w:val="000000" w:themeColor="text1"/>
        </w:rPr>
        <w:t xml:space="preserve"> and </w:t>
      </w:r>
      <w:hyperlink r:id="rId10" w:history="1">
        <w:r w:rsidRPr="002D776F">
          <w:rPr>
            <w:rStyle w:val="Hyperlink"/>
            <w:rFonts w:cs="Arial"/>
            <w:bCs/>
            <w:noProof/>
            <w:color w:val="000000" w:themeColor="text1"/>
          </w:rPr>
          <w:t>cleaner air spaces</w:t>
        </w:r>
      </w:hyperlink>
      <w:r w:rsidRPr="002D776F">
        <w:rPr>
          <w:rFonts w:cs="Arial"/>
          <w:bCs/>
          <w:noProof/>
          <w:color w:val="000000" w:themeColor="text1"/>
        </w:rPr>
        <w:t xml:space="preserve"> (i.e. shelters used during wildfire smoke events). Are there other non-residential indoor spaces that should be prioritized for future investigations/guidance development from an indoor air quality and health perspective?</w:t>
      </w:r>
    </w:p>
    <w:p w14:paraId="0A0E1456" w14:textId="59D5D4BD" w:rsidR="002D776F" w:rsidRPr="002D776F" w:rsidRDefault="002D776F" w:rsidP="00FF5F23">
      <w:pPr>
        <w:spacing w:after="0" w:line="276" w:lineRule="auto"/>
        <w:rPr>
          <w:rFonts w:cs="Arial"/>
          <w:bCs/>
          <w:noProof/>
          <w:color w:val="000000" w:themeColor="text1"/>
        </w:rPr>
      </w:pPr>
      <w:r w:rsidRPr="002D776F">
        <w:rPr>
          <w:rFonts w:cs="Arial"/>
          <w:bCs/>
          <w:noProof/>
          <w:color w:val="000000" w:themeColor="text1"/>
        </w:rPr>
        <w:t>Response:</w:t>
      </w:r>
    </w:p>
    <w:tbl>
      <w:tblPr>
        <w:tblStyle w:val="TableGrid"/>
        <w:tblW w:w="0" w:type="auto"/>
        <w:tblLook w:val="04A0" w:firstRow="1" w:lastRow="0" w:firstColumn="1" w:lastColumn="0" w:noHBand="0" w:noVBand="1"/>
      </w:tblPr>
      <w:tblGrid>
        <w:gridCol w:w="9350"/>
      </w:tblGrid>
      <w:tr w:rsidR="002D776F" w:rsidRPr="002D776F" w14:paraId="16ECF320" w14:textId="77777777" w:rsidTr="008373C3">
        <w:trPr>
          <w:trHeight w:val="1063"/>
        </w:trPr>
        <w:tc>
          <w:tcPr>
            <w:tcW w:w="10579"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tcPr>
          <w:p w14:paraId="592EDADE" w14:textId="77777777" w:rsidR="002D776F" w:rsidRPr="002D776F" w:rsidRDefault="002D776F" w:rsidP="008373C3">
            <w:pPr>
              <w:rPr>
                <w:rFonts w:cs="Arial"/>
                <w:bCs/>
                <w:noProof/>
                <w:color w:val="000000" w:themeColor="text1"/>
              </w:rPr>
            </w:pPr>
            <w:permStart w:id="996159091" w:edGrp="everyone" w:colFirst="0" w:colLast="0"/>
            <w:permStart w:id="1578769975" w:edGrp="everyone" w:colFirst="1" w:colLast="1"/>
          </w:p>
          <w:p w14:paraId="1C691342" w14:textId="77777777" w:rsidR="002D776F" w:rsidRDefault="002D776F" w:rsidP="008373C3">
            <w:pPr>
              <w:rPr>
                <w:rFonts w:cs="Arial"/>
                <w:bCs/>
                <w:noProof/>
                <w:color w:val="000000" w:themeColor="text1"/>
              </w:rPr>
            </w:pPr>
          </w:p>
          <w:p w14:paraId="06147D68" w14:textId="77777777" w:rsidR="002D776F" w:rsidRDefault="002D776F" w:rsidP="008373C3">
            <w:pPr>
              <w:rPr>
                <w:rFonts w:cs="Arial"/>
                <w:bCs/>
                <w:noProof/>
                <w:color w:val="000000" w:themeColor="text1"/>
              </w:rPr>
            </w:pPr>
          </w:p>
          <w:p w14:paraId="5B1BBB9F" w14:textId="77777777" w:rsidR="002D776F" w:rsidRDefault="002D776F" w:rsidP="008373C3">
            <w:pPr>
              <w:rPr>
                <w:rFonts w:cs="Arial"/>
                <w:bCs/>
                <w:noProof/>
                <w:color w:val="000000" w:themeColor="text1"/>
              </w:rPr>
            </w:pPr>
          </w:p>
          <w:p w14:paraId="758F5641" w14:textId="77777777" w:rsidR="002D776F" w:rsidRPr="002D776F" w:rsidRDefault="002D776F" w:rsidP="008373C3">
            <w:pPr>
              <w:rPr>
                <w:rFonts w:cs="Arial"/>
                <w:bCs/>
                <w:noProof/>
                <w:color w:val="000000" w:themeColor="text1"/>
              </w:rPr>
            </w:pPr>
          </w:p>
        </w:tc>
      </w:tr>
      <w:permEnd w:id="996159091"/>
      <w:permEnd w:id="1578769975"/>
    </w:tbl>
    <w:p w14:paraId="0BB4E1B5" w14:textId="77777777" w:rsidR="00FF5F23" w:rsidRDefault="00FF5F23" w:rsidP="002D776F">
      <w:pPr>
        <w:spacing w:line="276" w:lineRule="auto"/>
        <w:rPr>
          <w:rFonts w:cs="Arial"/>
          <w:b/>
          <w:bCs/>
          <w:noProof/>
          <w:color w:val="000000" w:themeColor="text1"/>
          <w:u w:val="single"/>
        </w:rPr>
      </w:pPr>
    </w:p>
    <w:p w14:paraId="533BFCD2" w14:textId="77777777" w:rsidR="002D776F" w:rsidRPr="002D776F" w:rsidRDefault="002D776F" w:rsidP="002D776F">
      <w:pPr>
        <w:spacing w:line="276" w:lineRule="auto"/>
        <w:rPr>
          <w:rFonts w:cs="Arial"/>
          <w:b/>
          <w:bCs/>
          <w:noProof/>
          <w:color w:val="000000" w:themeColor="text1"/>
          <w:u w:val="single"/>
        </w:rPr>
      </w:pPr>
      <w:r w:rsidRPr="002D776F">
        <w:rPr>
          <w:rFonts w:cs="Arial"/>
          <w:b/>
          <w:bCs/>
          <w:noProof/>
          <w:color w:val="000000" w:themeColor="text1"/>
          <w:u w:val="single"/>
        </w:rPr>
        <w:t>Question 3:</w:t>
      </w:r>
    </w:p>
    <w:p w14:paraId="3F5EF97A" w14:textId="77777777" w:rsidR="002D776F" w:rsidRPr="002D776F" w:rsidRDefault="002D776F" w:rsidP="002D776F">
      <w:pPr>
        <w:spacing w:line="276" w:lineRule="auto"/>
        <w:rPr>
          <w:rFonts w:cs="Arial"/>
          <w:bCs/>
          <w:noProof/>
          <w:color w:val="000000" w:themeColor="text1"/>
        </w:rPr>
      </w:pPr>
      <w:r w:rsidRPr="002D776F">
        <w:rPr>
          <w:rFonts w:cs="Arial"/>
          <w:bCs/>
          <w:noProof/>
          <w:color w:val="000000" w:themeColor="text1"/>
        </w:rPr>
        <w:t>Please provide any other indoor air quality issues you think should be a priority for Health Canada (e.g. certain sources or behaviours that generate indoor air contaminants). An explanation for why you feel the issue is a priority and how you think Health Canada could potentially address it (e.g. further research, guidance development, publication of communication materials for the general public) would also be appreciated.</w:t>
      </w:r>
    </w:p>
    <w:p w14:paraId="54D0D08A" w14:textId="681A0052" w:rsidR="002D776F" w:rsidRPr="002D776F" w:rsidRDefault="002D776F" w:rsidP="00FF5F23">
      <w:pPr>
        <w:spacing w:after="0" w:line="276" w:lineRule="auto"/>
        <w:rPr>
          <w:rFonts w:cs="Arial"/>
          <w:bCs/>
          <w:noProof/>
          <w:color w:val="000000" w:themeColor="text1"/>
        </w:rPr>
      </w:pPr>
      <w:r w:rsidRPr="002D776F">
        <w:rPr>
          <w:rFonts w:cs="Arial"/>
          <w:bCs/>
          <w:noProof/>
          <w:color w:val="000000" w:themeColor="text1"/>
        </w:rPr>
        <w:t>Response:</w:t>
      </w:r>
    </w:p>
    <w:tbl>
      <w:tblPr>
        <w:tblStyle w:val="TableGrid"/>
        <w:tblW w:w="0" w:type="auto"/>
        <w:tblLook w:val="04A0" w:firstRow="1" w:lastRow="0" w:firstColumn="1" w:lastColumn="0" w:noHBand="0" w:noVBand="1"/>
      </w:tblPr>
      <w:tblGrid>
        <w:gridCol w:w="9350"/>
      </w:tblGrid>
      <w:tr w:rsidR="002D776F" w:rsidRPr="002D776F" w14:paraId="492ECCC6" w14:textId="77777777" w:rsidTr="008373C3">
        <w:trPr>
          <w:trHeight w:val="1063"/>
        </w:trPr>
        <w:tc>
          <w:tcPr>
            <w:tcW w:w="10579"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tcPr>
          <w:p w14:paraId="69DD2408" w14:textId="77777777" w:rsidR="002D776F" w:rsidRPr="002D776F" w:rsidRDefault="002D776F" w:rsidP="008373C3">
            <w:pPr>
              <w:rPr>
                <w:rFonts w:cs="Arial"/>
                <w:bCs/>
                <w:noProof/>
                <w:color w:val="000000" w:themeColor="text1"/>
                <w:sz w:val="20"/>
                <w:szCs w:val="20"/>
              </w:rPr>
            </w:pPr>
            <w:permStart w:id="316231915" w:edGrp="everyone"/>
          </w:p>
          <w:p w14:paraId="51F9AF7B" w14:textId="77777777" w:rsidR="002D776F" w:rsidRDefault="002D776F" w:rsidP="008373C3">
            <w:pPr>
              <w:rPr>
                <w:rFonts w:cs="Arial"/>
                <w:bCs/>
                <w:noProof/>
                <w:color w:val="000000" w:themeColor="text1"/>
                <w:sz w:val="20"/>
                <w:szCs w:val="20"/>
              </w:rPr>
            </w:pPr>
          </w:p>
          <w:p w14:paraId="72CDF106" w14:textId="77777777" w:rsidR="002D776F" w:rsidRDefault="002D776F" w:rsidP="008373C3">
            <w:pPr>
              <w:rPr>
                <w:rFonts w:cs="Arial"/>
                <w:bCs/>
                <w:noProof/>
                <w:color w:val="000000" w:themeColor="text1"/>
                <w:sz w:val="20"/>
                <w:szCs w:val="20"/>
              </w:rPr>
            </w:pPr>
          </w:p>
          <w:p w14:paraId="61A4703C" w14:textId="77777777" w:rsidR="002D776F" w:rsidRDefault="002D776F" w:rsidP="008373C3">
            <w:pPr>
              <w:rPr>
                <w:rFonts w:cs="Arial"/>
                <w:bCs/>
                <w:noProof/>
                <w:color w:val="000000" w:themeColor="text1"/>
                <w:sz w:val="20"/>
                <w:szCs w:val="20"/>
              </w:rPr>
            </w:pPr>
          </w:p>
          <w:p w14:paraId="63BC484E" w14:textId="77777777" w:rsidR="002D776F" w:rsidRPr="002D776F" w:rsidRDefault="002D776F" w:rsidP="008373C3">
            <w:pPr>
              <w:rPr>
                <w:rFonts w:cs="Arial"/>
                <w:bCs/>
                <w:noProof/>
                <w:color w:val="000000" w:themeColor="text1"/>
                <w:sz w:val="20"/>
                <w:szCs w:val="20"/>
              </w:rPr>
            </w:pPr>
          </w:p>
        </w:tc>
      </w:tr>
    </w:tbl>
    <w:permEnd w:id="316231915"/>
    <w:p w14:paraId="78DE9583" w14:textId="32E0C895" w:rsidR="00F7705C" w:rsidRDefault="00F7705C" w:rsidP="00F7705C">
      <w:r>
        <w:t xml:space="preserve">If you have any other questions or comments, please </w:t>
      </w:r>
      <w:r w:rsidR="00B75FD5">
        <w:t>feel free to provide them.</w:t>
      </w:r>
    </w:p>
    <w:p w14:paraId="26E8F6A6" w14:textId="77777777" w:rsidR="00FF5F23" w:rsidRDefault="00F7705C" w:rsidP="00FF5F23">
      <w:pPr>
        <w:spacing w:after="120"/>
      </w:pPr>
      <w:r>
        <w:t xml:space="preserve">Thank you very much for taking the time to </w:t>
      </w:r>
      <w:r w:rsidR="00725BFA">
        <w:t xml:space="preserve">share your </w:t>
      </w:r>
      <w:r w:rsidR="006A0DDA">
        <w:t>areas of interest</w:t>
      </w:r>
      <w:r>
        <w:t>.</w:t>
      </w:r>
    </w:p>
    <w:p w14:paraId="5F7A7D31" w14:textId="77777777" w:rsidR="00FF5F23" w:rsidRDefault="00FF5F23" w:rsidP="00FF5F23">
      <w:pPr>
        <w:spacing w:after="120"/>
      </w:pPr>
    </w:p>
    <w:p w14:paraId="6CEBFB40" w14:textId="524AF407" w:rsidR="007C3664" w:rsidRPr="00FF5F23" w:rsidRDefault="00056991" w:rsidP="00FF5F23">
      <w:pPr>
        <w:spacing w:after="360"/>
        <w:rPr>
          <w:u w:val="single"/>
        </w:rPr>
      </w:pPr>
      <w:r w:rsidRPr="00FF5F23">
        <w:rPr>
          <w:b/>
          <w:u w:val="single"/>
        </w:rPr>
        <w:t>List of Indoor Air Contaminants</w:t>
      </w:r>
    </w:p>
    <w:tbl>
      <w:tblPr>
        <w:tblStyle w:val="TableGrid"/>
        <w:tblW w:w="0" w:type="auto"/>
        <w:tblLook w:val="04A0" w:firstRow="1" w:lastRow="0" w:firstColumn="1" w:lastColumn="0" w:noHBand="0" w:noVBand="1"/>
      </w:tblPr>
      <w:tblGrid>
        <w:gridCol w:w="4957"/>
      </w:tblGrid>
      <w:tr w:rsidR="00056991" w:rsidRPr="00056991" w14:paraId="61E9A848" w14:textId="77777777" w:rsidTr="00056991">
        <w:trPr>
          <w:trHeight w:val="290"/>
        </w:trPr>
        <w:tc>
          <w:tcPr>
            <w:tcW w:w="4957" w:type="dxa"/>
            <w:hideMark/>
          </w:tcPr>
          <w:p w14:paraId="18752A6F" w14:textId="77777777" w:rsidR="00056991" w:rsidRPr="00056991" w:rsidRDefault="00056991">
            <w:r w:rsidRPr="00056991">
              <w:lastRenderedPageBreak/>
              <w:t>1,3-Butadiene</w:t>
            </w:r>
          </w:p>
        </w:tc>
      </w:tr>
      <w:tr w:rsidR="00056991" w:rsidRPr="00056991" w14:paraId="32C515C7" w14:textId="77777777" w:rsidTr="00056991">
        <w:trPr>
          <w:trHeight w:val="290"/>
        </w:trPr>
        <w:tc>
          <w:tcPr>
            <w:tcW w:w="4957" w:type="dxa"/>
            <w:hideMark/>
          </w:tcPr>
          <w:p w14:paraId="5BE9C8B1" w14:textId="77777777" w:rsidR="00056991" w:rsidRPr="00056991" w:rsidRDefault="00056991">
            <w:r w:rsidRPr="00056991">
              <w:t>1,4-Dichlorobenzene</w:t>
            </w:r>
          </w:p>
        </w:tc>
      </w:tr>
      <w:tr w:rsidR="00056991" w:rsidRPr="00056991" w14:paraId="5675CD3D" w14:textId="77777777" w:rsidTr="00056991">
        <w:trPr>
          <w:trHeight w:val="314"/>
        </w:trPr>
        <w:tc>
          <w:tcPr>
            <w:tcW w:w="4957" w:type="dxa"/>
            <w:hideMark/>
          </w:tcPr>
          <w:p w14:paraId="4DE14736" w14:textId="77777777" w:rsidR="00056991" w:rsidRPr="00056991" w:rsidRDefault="00056991">
            <w:r w:rsidRPr="00056991">
              <w:t>1-Propene, 3-chloro (Allyl chloride, 3-chloropropene)</w:t>
            </w:r>
          </w:p>
        </w:tc>
      </w:tr>
      <w:tr w:rsidR="00056991" w:rsidRPr="00056991" w14:paraId="064F8D40" w14:textId="77777777" w:rsidTr="00056991">
        <w:trPr>
          <w:trHeight w:val="277"/>
        </w:trPr>
        <w:tc>
          <w:tcPr>
            <w:tcW w:w="4957" w:type="dxa"/>
            <w:hideMark/>
          </w:tcPr>
          <w:p w14:paraId="004F8936" w14:textId="77777777" w:rsidR="00056991" w:rsidRPr="00056991" w:rsidRDefault="00056991">
            <w:r w:rsidRPr="00056991">
              <w:t>2-Butoxyethanol (ethylene glycol monobutyl ether)</w:t>
            </w:r>
          </w:p>
        </w:tc>
      </w:tr>
      <w:tr w:rsidR="00056991" w:rsidRPr="00056991" w14:paraId="2322BE3F" w14:textId="77777777" w:rsidTr="00056991">
        <w:trPr>
          <w:trHeight w:val="290"/>
        </w:trPr>
        <w:tc>
          <w:tcPr>
            <w:tcW w:w="4957" w:type="dxa"/>
            <w:noWrap/>
            <w:hideMark/>
          </w:tcPr>
          <w:p w14:paraId="34EA7F4F" w14:textId="77777777" w:rsidR="00056991" w:rsidRPr="00056991" w:rsidRDefault="00056991">
            <w:r w:rsidRPr="00056991">
              <w:t>Ammonia</w:t>
            </w:r>
          </w:p>
        </w:tc>
      </w:tr>
      <w:tr w:rsidR="00056991" w:rsidRPr="00056991" w14:paraId="3D84AB6E" w14:textId="77777777" w:rsidTr="00056991">
        <w:trPr>
          <w:trHeight w:val="290"/>
        </w:trPr>
        <w:tc>
          <w:tcPr>
            <w:tcW w:w="4957" w:type="dxa"/>
            <w:noWrap/>
            <w:hideMark/>
          </w:tcPr>
          <w:p w14:paraId="06E9418E" w14:textId="77777777" w:rsidR="00056991" w:rsidRPr="00056991" w:rsidRDefault="00056991">
            <w:r w:rsidRPr="00056991">
              <w:t>Aniline</w:t>
            </w:r>
          </w:p>
        </w:tc>
      </w:tr>
      <w:tr w:rsidR="00056991" w:rsidRPr="00056991" w14:paraId="253DAE36" w14:textId="77777777" w:rsidTr="00056991">
        <w:trPr>
          <w:trHeight w:val="290"/>
        </w:trPr>
        <w:tc>
          <w:tcPr>
            <w:tcW w:w="4957" w:type="dxa"/>
            <w:hideMark/>
          </w:tcPr>
          <w:p w14:paraId="25B17E0E" w14:textId="77777777" w:rsidR="00056991" w:rsidRPr="00056991" w:rsidRDefault="00056991">
            <w:r w:rsidRPr="00056991">
              <w:t>a-Pinene</w:t>
            </w:r>
          </w:p>
        </w:tc>
      </w:tr>
      <w:tr w:rsidR="00056991" w:rsidRPr="00056991" w14:paraId="254F9198" w14:textId="77777777" w:rsidTr="00056991">
        <w:trPr>
          <w:trHeight w:val="290"/>
        </w:trPr>
        <w:tc>
          <w:tcPr>
            <w:tcW w:w="4957" w:type="dxa"/>
            <w:noWrap/>
            <w:hideMark/>
          </w:tcPr>
          <w:p w14:paraId="4A512043" w14:textId="77777777" w:rsidR="00056991" w:rsidRPr="00056991" w:rsidRDefault="00056991">
            <w:r w:rsidRPr="00056991">
              <w:t>Dibutyl Phthalate (DiBP, DnBP)</w:t>
            </w:r>
          </w:p>
        </w:tc>
      </w:tr>
      <w:tr w:rsidR="00056991" w:rsidRPr="00056991" w14:paraId="7567556B" w14:textId="77777777" w:rsidTr="00056991">
        <w:trPr>
          <w:trHeight w:val="290"/>
        </w:trPr>
        <w:tc>
          <w:tcPr>
            <w:tcW w:w="4957" w:type="dxa"/>
            <w:hideMark/>
          </w:tcPr>
          <w:p w14:paraId="7891333B" w14:textId="77777777" w:rsidR="00056991" w:rsidRPr="00056991" w:rsidRDefault="00056991">
            <w:r w:rsidRPr="00056991">
              <w:t>Dichloromethane (methylene chloride)</w:t>
            </w:r>
          </w:p>
        </w:tc>
      </w:tr>
      <w:tr w:rsidR="00056991" w:rsidRPr="00056991" w14:paraId="23A45161" w14:textId="77777777" w:rsidTr="00056991">
        <w:trPr>
          <w:trHeight w:val="290"/>
        </w:trPr>
        <w:tc>
          <w:tcPr>
            <w:tcW w:w="4957" w:type="dxa"/>
            <w:hideMark/>
          </w:tcPr>
          <w:p w14:paraId="1844D4CC" w14:textId="77777777" w:rsidR="00056991" w:rsidRPr="00056991" w:rsidRDefault="00056991">
            <w:r w:rsidRPr="00056991">
              <w:t>d-Limonene</w:t>
            </w:r>
          </w:p>
        </w:tc>
      </w:tr>
      <w:tr w:rsidR="00056991" w:rsidRPr="00056991" w14:paraId="3DAB1647" w14:textId="77777777" w:rsidTr="00056991">
        <w:trPr>
          <w:trHeight w:val="290"/>
        </w:trPr>
        <w:tc>
          <w:tcPr>
            <w:tcW w:w="4957" w:type="dxa"/>
            <w:hideMark/>
          </w:tcPr>
          <w:p w14:paraId="71D2C3B6" w14:textId="77777777" w:rsidR="00056991" w:rsidRPr="00056991" w:rsidRDefault="00056991">
            <w:r w:rsidRPr="00056991">
              <w:t>Ethylene oxide</w:t>
            </w:r>
          </w:p>
        </w:tc>
      </w:tr>
      <w:tr w:rsidR="00056991" w:rsidRPr="00056991" w14:paraId="122A1A68" w14:textId="77777777" w:rsidTr="00056991">
        <w:trPr>
          <w:trHeight w:val="290"/>
        </w:trPr>
        <w:tc>
          <w:tcPr>
            <w:tcW w:w="4957" w:type="dxa"/>
            <w:hideMark/>
          </w:tcPr>
          <w:p w14:paraId="678270B1" w14:textId="77777777" w:rsidR="00056991" w:rsidRPr="00056991" w:rsidRDefault="00056991">
            <w:r w:rsidRPr="00056991">
              <w:t>Isopropyl alcohol</w:t>
            </w:r>
          </w:p>
        </w:tc>
      </w:tr>
      <w:tr w:rsidR="00056991" w:rsidRPr="00056991" w14:paraId="69507828" w14:textId="77777777" w:rsidTr="00056991">
        <w:trPr>
          <w:trHeight w:val="290"/>
        </w:trPr>
        <w:tc>
          <w:tcPr>
            <w:tcW w:w="4957" w:type="dxa"/>
            <w:hideMark/>
          </w:tcPr>
          <w:p w14:paraId="7443D508" w14:textId="77777777" w:rsidR="00056991" w:rsidRPr="00056991" w:rsidRDefault="00056991">
            <w:r w:rsidRPr="00056991">
              <w:t>Methyl ethyl ketone (2-butanone)</w:t>
            </w:r>
          </w:p>
        </w:tc>
      </w:tr>
      <w:tr w:rsidR="00056991" w:rsidRPr="00056991" w14:paraId="63C2F961" w14:textId="77777777" w:rsidTr="00056991">
        <w:trPr>
          <w:trHeight w:val="290"/>
        </w:trPr>
        <w:tc>
          <w:tcPr>
            <w:tcW w:w="4957" w:type="dxa"/>
            <w:hideMark/>
          </w:tcPr>
          <w:p w14:paraId="4F1E983B" w14:textId="77777777" w:rsidR="00056991" w:rsidRPr="00056991" w:rsidRDefault="00056991">
            <w:r w:rsidRPr="00056991">
              <w:t>Methyl isobutyl ketone (MIBK)</w:t>
            </w:r>
          </w:p>
        </w:tc>
      </w:tr>
      <w:tr w:rsidR="00056991" w:rsidRPr="00056991" w14:paraId="16735155" w14:textId="77777777" w:rsidTr="00056991">
        <w:trPr>
          <w:trHeight w:val="290"/>
        </w:trPr>
        <w:tc>
          <w:tcPr>
            <w:tcW w:w="4957" w:type="dxa"/>
            <w:hideMark/>
          </w:tcPr>
          <w:p w14:paraId="49E5F84C" w14:textId="77777777" w:rsidR="00056991" w:rsidRPr="00056991" w:rsidRDefault="00056991">
            <w:r w:rsidRPr="00056991">
              <w:t>Naphthalene</w:t>
            </w:r>
          </w:p>
        </w:tc>
      </w:tr>
      <w:tr w:rsidR="00056991" w:rsidRPr="00056991" w14:paraId="6B24CB2E" w14:textId="77777777" w:rsidTr="00056991">
        <w:trPr>
          <w:trHeight w:val="290"/>
        </w:trPr>
        <w:tc>
          <w:tcPr>
            <w:tcW w:w="4957" w:type="dxa"/>
            <w:hideMark/>
          </w:tcPr>
          <w:p w14:paraId="6103D58F" w14:textId="77777777" w:rsidR="00056991" w:rsidRPr="00056991" w:rsidRDefault="00056991">
            <w:r w:rsidRPr="00056991">
              <w:t>Propionaldehyde (propanal)</w:t>
            </w:r>
          </w:p>
        </w:tc>
      </w:tr>
      <w:tr w:rsidR="00056991" w:rsidRPr="00056991" w14:paraId="1F30115E" w14:textId="77777777" w:rsidTr="00056991">
        <w:trPr>
          <w:trHeight w:val="290"/>
        </w:trPr>
        <w:tc>
          <w:tcPr>
            <w:tcW w:w="4957" w:type="dxa"/>
            <w:hideMark/>
          </w:tcPr>
          <w:p w14:paraId="7D9383B1" w14:textId="77777777" w:rsidR="00056991" w:rsidRPr="00056991" w:rsidRDefault="00056991">
            <w:r w:rsidRPr="00056991">
              <w:t>Styrene</w:t>
            </w:r>
          </w:p>
        </w:tc>
      </w:tr>
      <w:tr w:rsidR="00056991" w:rsidRPr="00056991" w14:paraId="1816D1BF" w14:textId="77777777" w:rsidTr="00056991">
        <w:trPr>
          <w:trHeight w:val="290"/>
        </w:trPr>
        <w:tc>
          <w:tcPr>
            <w:tcW w:w="4957" w:type="dxa"/>
            <w:noWrap/>
            <w:hideMark/>
          </w:tcPr>
          <w:p w14:paraId="12170490" w14:textId="77777777" w:rsidR="00056991" w:rsidRPr="00056991" w:rsidRDefault="00056991">
            <w:r w:rsidRPr="00056991">
              <w:t>TCEP (Tris(2-chloroethyl) phosphate)</w:t>
            </w:r>
          </w:p>
        </w:tc>
      </w:tr>
      <w:tr w:rsidR="00056991" w:rsidRPr="00056991" w14:paraId="4C9F5270" w14:textId="77777777" w:rsidTr="00056991">
        <w:trPr>
          <w:trHeight w:val="313"/>
        </w:trPr>
        <w:tc>
          <w:tcPr>
            <w:tcW w:w="4957" w:type="dxa"/>
            <w:hideMark/>
          </w:tcPr>
          <w:p w14:paraId="3E79402A" w14:textId="77777777" w:rsidR="00056991" w:rsidRPr="00056991" w:rsidRDefault="00056991">
            <w:r w:rsidRPr="00056991">
              <w:t>Tetrachloroethene (tetrachloroethylene, PCE)</w:t>
            </w:r>
          </w:p>
        </w:tc>
      </w:tr>
      <w:tr w:rsidR="00056991" w:rsidRPr="00056991" w14:paraId="54C863BA" w14:textId="77777777" w:rsidTr="00056991">
        <w:trPr>
          <w:trHeight w:val="290"/>
        </w:trPr>
        <w:tc>
          <w:tcPr>
            <w:tcW w:w="4957" w:type="dxa"/>
            <w:hideMark/>
          </w:tcPr>
          <w:p w14:paraId="172A81F5" w14:textId="77777777" w:rsidR="00056991" w:rsidRPr="00056991" w:rsidRDefault="00056991">
            <w:r w:rsidRPr="00056991">
              <w:t>Toluene</w:t>
            </w:r>
          </w:p>
        </w:tc>
      </w:tr>
      <w:tr w:rsidR="00056991" w:rsidRPr="00056991" w14:paraId="65516C3A" w14:textId="77777777" w:rsidTr="00056991">
        <w:trPr>
          <w:trHeight w:val="290"/>
        </w:trPr>
        <w:tc>
          <w:tcPr>
            <w:tcW w:w="4957" w:type="dxa"/>
            <w:noWrap/>
            <w:hideMark/>
          </w:tcPr>
          <w:p w14:paraId="26A6BA9A" w14:textId="77777777" w:rsidR="00056991" w:rsidRPr="00056991" w:rsidRDefault="00056991">
            <w:r w:rsidRPr="00056991">
              <w:t>Toluene diisocyanate</w:t>
            </w:r>
          </w:p>
        </w:tc>
      </w:tr>
      <w:tr w:rsidR="00056991" w:rsidRPr="00056991" w14:paraId="6456513A" w14:textId="77777777" w:rsidTr="00056991">
        <w:trPr>
          <w:trHeight w:val="290"/>
        </w:trPr>
        <w:tc>
          <w:tcPr>
            <w:tcW w:w="4957" w:type="dxa"/>
            <w:noWrap/>
            <w:hideMark/>
          </w:tcPr>
          <w:p w14:paraId="7FB1D571" w14:textId="77777777" w:rsidR="00056991" w:rsidRPr="00056991" w:rsidRDefault="00056991">
            <w:r w:rsidRPr="00056991">
              <w:t>Trichloroethylene</w:t>
            </w:r>
          </w:p>
        </w:tc>
      </w:tr>
    </w:tbl>
    <w:p w14:paraId="70C650E0" w14:textId="77777777" w:rsidR="00056991" w:rsidRDefault="00056991" w:rsidP="00072BCF">
      <w:pPr>
        <w:rPr>
          <w:color w:val="1F497D"/>
        </w:rPr>
      </w:pPr>
    </w:p>
    <w:sectPr w:rsidR="00056991">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6C00F" w16cex:dateUtc="2021-03-25T11:53:00Z"/>
  <w16cex:commentExtensible w16cex:durableId="240EACDD" w16cex:dateUtc="2021-03-25T13:45:00Z"/>
  <w16cex:commentExtensible w16cex:durableId="2406DA20" w16cex:dateUtc="2021-03-25T13:45:00Z"/>
  <w16cex:commentExtensible w16cex:durableId="2406DA08" w16cex:dateUtc="2021-03-25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04C54D" w16cid:durableId="2406BFC7"/>
  <w16cid:commentId w16cid:paraId="7CA197E6" w16cid:durableId="2406BFC8"/>
  <w16cid:commentId w16cid:paraId="5E4D565A" w16cid:durableId="2406BFC9"/>
  <w16cid:commentId w16cid:paraId="57F6A804" w16cid:durableId="2406BFCA"/>
  <w16cid:commentId w16cid:paraId="2C987BD1" w16cid:durableId="2406BFCB"/>
  <w16cid:commentId w16cid:paraId="70D2DD03" w16cid:durableId="2406BFCC"/>
  <w16cid:commentId w16cid:paraId="64759EFE" w16cid:durableId="2406BFCD"/>
  <w16cid:commentId w16cid:paraId="06D6F9D4" w16cid:durableId="2406C00F"/>
  <w16cid:commentId w16cid:paraId="0F616D7D" w16cid:durableId="2406BFCE"/>
  <w16cid:commentId w16cid:paraId="18F18C28" w16cid:durableId="2406BFCF"/>
  <w16cid:commentId w16cid:paraId="27B20783" w16cid:durableId="2406BFD0"/>
  <w16cid:commentId w16cid:paraId="73D701C8" w16cid:durableId="2406BFD1"/>
  <w16cid:commentId w16cid:paraId="1A6C43A7" w16cid:durableId="2406BFD2"/>
  <w16cid:commentId w16cid:paraId="466C2A05" w16cid:durableId="2406BFD3"/>
  <w16cid:commentId w16cid:paraId="41D3C25B" w16cid:durableId="240EACDD"/>
  <w16cid:commentId w16cid:paraId="3E94DF2D" w16cid:durableId="2406BFD4"/>
  <w16cid:commentId w16cid:paraId="48257CA4" w16cid:durableId="2406BFD5"/>
  <w16cid:commentId w16cid:paraId="612B7F69" w16cid:durableId="2406BFD6"/>
  <w16cid:commentId w16cid:paraId="4E9881D0" w16cid:durableId="2406DA20"/>
  <w16cid:commentId w16cid:paraId="365ADE9C" w16cid:durableId="2406DA08"/>
  <w16cid:commentId w16cid:paraId="5CC3C532" w16cid:durableId="2406BFD7"/>
  <w16cid:commentId w16cid:paraId="5D70F823" w16cid:durableId="2406BFD8"/>
  <w16cid:commentId w16cid:paraId="30DA8038" w16cid:durableId="2406BFD9"/>
  <w16cid:commentId w16cid:paraId="7E21165D" w16cid:durableId="2406BFDA"/>
  <w16cid:commentId w16cid:paraId="5C2CAB74" w16cid:durableId="2406BFDB"/>
  <w16cid:commentId w16cid:paraId="59C1E9D4" w16cid:durableId="2406BFDC"/>
  <w16cid:commentId w16cid:paraId="4CE7320B" w16cid:durableId="2406BFDD"/>
  <w16cid:commentId w16cid:paraId="34507CB1" w16cid:durableId="2406BFD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F5DDD"/>
    <w:multiLevelType w:val="hybridMultilevel"/>
    <w:tmpl w:val="6BBA4B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4062C2F"/>
    <w:multiLevelType w:val="hybridMultilevel"/>
    <w:tmpl w:val="FF98ED30"/>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7C73F58"/>
    <w:multiLevelType w:val="hybridMultilevel"/>
    <w:tmpl w:val="B7E67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A8C5F33"/>
    <w:multiLevelType w:val="hybridMultilevel"/>
    <w:tmpl w:val="C3AC4DDA"/>
    <w:lvl w:ilvl="0" w:tplc="10090001">
      <w:start w:val="1"/>
      <w:numFmt w:val="bullet"/>
      <w:lvlText w:val=""/>
      <w:lvlJc w:val="left"/>
      <w:pPr>
        <w:ind w:left="769" w:hanging="360"/>
      </w:pPr>
      <w:rPr>
        <w:rFonts w:ascii="Symbol" w:hAnsi="Symbol" w:hint="default"/>
      </w:rPr>
    </w:lvl>
    <w:lvl w:ilvl="1" w:tplc="10090003" w:tentative="1">
      <w:start w:val="1"/>
      <w:numFmt w:val="bullet"/>
      <w:lvlText w:val="o"/>
      <w:lvlJc w:val="left"/>
      <w:pPr>
        <w:ind w:left="1489" w:hanging="360"/>
      </w:pPr>
      <w:rPr>
        <w:rFonts w:ascii="Courier New" w:hAnsi="Courier New" w:cs="Courier New" w:hint="default"/>
      </w:rPr>
    </w:lvl>
    <w:lvl w:ilvl="2" w:tplc="10090005" w:tentative="1">
      <w:start w:val="1"/>
      <w:numFmt w:val="bullet"/>
      <w:lvlText w:val=""/>
      <w:lvlJc w:val="left"/>
      <w:pPr>
        <w:ind w:left="2209" w:hanging="360"/>
      </w:pPr>
      <w:rPr>
        <w:rFonts w:ascii="Wingdings" w:hAnsi="Wingdings" w:hint="default"/>
      </w:rPr>
    </w:lvl>
    <w:lvl w:ilvl="3" w:tplc="10090001" w:tentative="1">
      <w:start w:val="1"/>
      <w:numFmt w:val="bullet"/>
      <w:lvlText w:val=""/>
      <w:lvlJc w:val="left"/>
      <w:pPr>
        <w:ind w:left="2929" w:hanging="360"/>
      </w:pPr>
      <w:rPr>
        <w:rFonts w:ascii="Symbol" w:hAnsi="Symbol" w:hint="default"/>
      </w:rPr>
    </w:lvl>
    <w:lvl w:ilvl="4" w:tplc="10090003" w:tentative="1">
      <w:start w:val="1"/>
      <w:numFmt w:val="bullet"/>
      <w:lvlText w:val="o"/>
      <w:lvlJc w:val="left"/>
      <w:pPr>
        <w:ind w:left="3649" w:hanging="360"/>
      </w:pPr>
      <w:rPr>
        <w:rFonts w:ascii="Courier New" w:hAnsi="Courier New" w:cs="Courier New" w:hint="default"/>
      </w:rPr>
    </w:lvl>
    <w:lvl w:ilvl="5" w:tplc="10090005" w:tentative="1">
      <w:start w:val="1"/>
      <w:numFmt w:val="bullet"/>
      <w:lvlText w:val=""/>
      <w:lvlJc w:val="left"/>
      <w:pPr>
        <w:ind w:left="4369" w:hanging="360"/>
      </w:pPr>
      <w:rPr>
        <w:rFonts w:ascii="Wingdings" w:hAnsi="Wingdings" w:hint="default"/>
      </w:rPr>
    </w:lvl>
    <w:lvl w:ilvl="6" w:tplc="10090001" w:tentative="1">
      <w:start w:val="1"/>
      <w:numFmt w:val="bullet"/>
      <w:lvlText w:val=""/>
      <w:lvlJc w:val="left"/>
      <w:pPr>
        <w:ind w:left="5089" w:hanging="360"/>
      </w:pPr>
      <w:rPr>
        <w:rFonts w:ascii="Symbol" w:hAnsi="Symbol" w:hint="default"/>
      </w:rPr>
    </w:lvl>
    <w:lvl w:ilvl="7" w:tplc="10090003" w:tentative="1">
      <w:start w:val="1"/>
      <w:numFmt w:val="bullet"/>
      <w:lvlText w:val="o"/>
      <w:lvlJc w:val="left"/>
      <w:pPr>
        <w:ind w:left="5809" w:hanging="360"/>
      </w:pPr>
      <w:rPr>
        <w:rFonts w:ascii="Courier New" w:hAnsi="Courier New" w:cs="Courier New" w:hint="default"/>
      </w:rPr>
    </w:lvl>
    <w:lvl w:ilvl="8" w:tplc="10090005" w:tentative="1">
      <w:start w:val="1"/>
      <w:numFmt w:val="bullet"/>
      <w:lvlText w:val=""/>
      <w:lvlJc w:val="left"/>
      <w:pPr>
        <w:ind w:left="6529" w:hanging="360"/>
      </w:pPr>
      <w:rPr>
        <w:rFonts w:ascii="Wingdings" w:hAnsi="Wingdings" w:hint="default"/>
      </w:rPr>
    </w:lvl>
  </w:abstractNum>
  <w:abstractNum w:abstractNumId="4" w15:restartNumberingAfterBreak="0">
    <w:nsid w:val="62D9660F"/>
    <w:multiLevelType w:val="hybridMultilevel"/>
    <w:tmpl w:val="196ED696"/>
    <w:lvl w:ilvl="0" w:tplc="10090001">
      <w:start w:val="1"/>
      <w:numFmt w:val="bullet"/>
      <w:lvlText w:val=""/>
      <w:lvlJc w:val="left"/>
      <w:pPr>
        <w:ind w:left="1129" w:hanging="360"/>
      </w:pPr>
      <w:rPr>
        <w:rFonts w:ascii="Symbol" w:hAnsi="Symbol" w:hint="default"/>
      </w:rPr>
    </w:lvl>
    <w:lvl w:ilvl="1" w:tplc="10090003" w:tentative="1">
      <w:start w:val="1"/>
      <w:numFmt w:val="bullet"/>
      <w:lvlText w:val="o"/>
      <w:lvlJc w:val="left"/>
      <w:pPr>
        <w:ind w:left="1849" w:hanging="360"/>
      </w:pPr>
      <w:rPr>
        <w:rFonts w:ascii="Courier New" w:hAnsi="Courier New" w:cs="Courier New" w:hint="default"/>
      </w:rPr>
    </w:lvl>
    <w:lvl w:ilvl="2" w:tplc="10090005" w:tentative="1">
      <w:start w:val="1"/>
      <w:numFmt w:val="bullet"/>
      <w:lvlText w:val=""/>
      <w:lvlJc w:val="left"/>
      <w:pPr>
        <w:ind w:left="2569" w:hanging="360"/>
      </w:pPr>
      <w:rPr>
        <w:rFonts w:ascii="Wingdings" w:hAnsi="Wingdings" w:hint="default"/>
      </w:rPr>
    </w:lvl>
    <w:lvl w:ilvl="3" w:tplc="10090001" w:tentative="1">
      <w:start w:val="1"/>
      <w:numFmt w:val="bullet"/>
      <w:lvlText w:val=""/>
      <w:lvlJc w:val="left"/>
      <w:pPr>
        <w:ind w:left="3289" w:hanging="360"/>
      </w:pPr>
      <w:rPr>
        <w:rFonts w:ascii="Symbol" w:hAnsi="Symbol" w:hint="default"/>
      </w:rPr>
    </w:lvl>
    <w:lvl w:ilvl="4" w:tplc="10090003" w:tentative="1">
      <w:start w:val="1"/>
      <w:numFmt w:val="bullet"/>
      <w:lvlText w:val="o"/>
      <w:lvlJc w:val="left"/>
      <w:pPr>
        <w:ind w:left="4009" w:hanging="360"/>
      </w:pPr>
      <w:rPr>
        <w:rFonts w:ascii="Courier New" w:hAnsi="Courier New" w:cs="Courier New" w:hint="default"/>
      </w:rPr>
    </w:lvl>
    <w:lvl w:ilvl="5" w:tplc="10090005" w:tentative="1">
      <w:start w:val="1"/>
      <w:numFmt w:val="bullet"/>
      <w:lvlText w:val=""/>
      <w:lvlJc w:val="left"/>
      <w:pPr>
        <w:ind w:left="4729" w:hanging="360"/>
      </w:pPr>
      <w:rPr>
        <w:rFonts w:ascii="Wingdings" w:hAnsi="Wingdings" w:hint="default"/>
      </w:rPr>
    </w:lvl>
    <w:lvl w:ilvl="6" w:tplc="10090001" w:tentative="1">
      <w:start w:val="1"/>
      <w:numFmt w:val="bullet"/>
      <w:lvlText w:val=""/>
      <w:lvlJc w:val="left"/>
      <w:pPr>
        <w:ind w:left="5449" w:hanging="360"/>
      </w:pPr>
      <w:rPr>
        <w:rFonts w:ascii="Symbol" w:hAnsi="Symbol" w:hint="default"/>
      </w:rPr>
    </w:lvl>
    <w:lvl w:ilvl="7" w:tplc="10090003" w:tentative="1">
      <w:start w:val="1"/>
      <w:numFmt w:val="bullet"/>
      <w:lvlText w:val="o"/>
      <w:lvlJc w:val="left"/>
      <w:pPr>
        <w:ind w:left="6169" w:hanging="360"/>
      </w:pPr>
      <w:rPr>
        <w:rFonts w:ascii="Courier New" w:hAnsi="Courier New" w:cs="Courier New" w:hint="default"/>
      </w:rPr>
    </w:lvl>
    <w:lvl w:ilvl="8" w:tplc="10090005" w:tentative="1">
      <w:start w:val="1"/>
      <w:numFmt w:val="bullet"/>
      <w:lvlText w:val=""/>
      <w:lvlJc w:val="left"/>
      <w:pPr>
        <w:ind w:left="6889" w:hanging="360"/>
      </w:pPr>
      <w:rPr>
        <w:rFonts w:ascii="Wingdings" w:hAnsi="Wingdings" w:hint="default"/>
      </w:rPr>
    </w:lvl>
  </w:abstractNum>
  <w:abstractNum w:abstractNumId="5" w15:restartNumberingAfterBreak="0">
    <w:nsid w:val="705D7F08"/>
    <w:multiLevelType w:val="hybridMultilevel"/>
    <w:tmpl w:val="9DC87D3A"/>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proofState w:spelling="clean" w:grammar="clean"/>
  <w:documentProtection w:edit="readOnly" w:enforcement="1" w:cryptProviderType="rsaAES" w:cryptAlgorithmClass="hash" w:cryptAlgorithmType="typeAny" w:cryptAlgorithmSid="14" w:cryptSpinCount="100000" w:hash="Lyb+wg5zWmC5DypO5jRYK51MgLdzBc3vnLTsA+WXqLVAc/yzGIUBk5wH5fUWocADFXApii/dLuWSlLxDBgM+Ug==" w:salt="eH8w9lA/C7Q3pvu47oicqw=="/>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4B64435-7CFE-49CE-B20F-CC2C58DA9EC9}"/>
    <w:docVar w:name="dgnword-eventsink" w:val="2268062015520"/>
    <w:docVar w:name="dgnword-lastRevisionsView" w:val="0"/>
  </w:docVars>
  <w:rsids>
    <w:rsidRoot w:val="00A91C80"/>
    <w:rsid w:val="00022C58"/>
    <w:rsid w:val="00023F32"/>
    <w:rsid w:val="000539C0"/>
    <w:rsid w:val="00056991"/>
    <w:rsid w:val="00072BCF"/>
    <w:rsid w:val="00076121"/>
    <w:rsid w:val="0009170E"/>
    <w:rsid w:val="00091FBC"/>
    <w:rsid w:val="00092CD6"/>
    <w:rsid w:val="000B11F4"/>
    <w:rsid w:val="000D6C7B"/>
    <w:rsid w:val="000E6CD9"/>
    <w:rsid w:val="0011406C"/>
    <w:rsid w:val="0013112A"/>
    <w:rsid w:val="00141A35"/>
    <w:rsid w:val="001510EE"/>
    <w:rsid w:val="00174A75"/>
    <w:rsid w:val="001C5DC3"/>
    <w:rsid w:val="001D79B3"/>
    <w:rsid w:val="00296454"/>
    <w:rsid w:val="002A3A4E"/>
    <w:rsid w:val="002C7793"/>
    <w:rsid w:val="002D776F"/>
    <w:rsid w:val="0030276C"/>
    <w:rsid w:val="003322AE"/>
    <w:rsid w:val="00341B05"/>
    <w:rsid w:val="003665FF"/>
    <w:rsid w:val="003B29CF"/>
    <w:rsid w:val="003C78E0"/>
    <w:rsid w:val="003F6254"/>
    <w:rsid w:val="00400E00"/>
    <w:rsid w:val="0041105C"/>
    <w:rsid w:val="00495A19"/>
    <w:rsid w:val="004F02DD"/>
    <w:rsid w:val="005A5C38"/>
    <w:rsid w:val="005C2F54"/>
    <w:rsid w:val="006043D8"/>
    <w:rsid w:val="006171E6"/>
    <w:rsid w:val="00630319"/>
    <w:rsid w:val="006325E5"/>
    <w:rsid w:val="00636B48"/>
    <w:rsid w:val="00664F1E"/>
    <w:rsid w:val="006932E7"/>
    <w:rsid w:val="006A0DDA"/>
    <w:rsid w:val="006A55D1"/>
    <w:rsid w:val="006B4D3B"/>
    <w:rsid w:val="006E0D9D"/>
    <w:rsid w:val="00725BFA"/>
    <w:rsid w:val="00734541"/>
    <w:rsid w:val="007627F0"/>
    <w:rsid w:val="0077003E"/>
    <w:rsid w:val="007B4DDE"/>
    <w:rsid w:val="007C3664"/>
    <w:rsid w:val="007C7A35"/>
    <w:rsid w:val="007D6297"/>
    <w:rsid w:val="007E0BD3"/>
    <w:rsid w:val="007E2EBC"/>
    <w:rsid w:val="007F3BCE"/>
    <w:rsid w:val="00830F6F"/>
    <w:rsid w:val="008753C5"/>
    <w:rsid w:val="008A315A"/>
    <w:rsid w:val="008B61FF"/>
    <w:rsid w:val="008E308D"/>
    <w:rsid w:val="009730CB"/>
    <w:rsid w:val="00983B97"/>
    <w:rsid w:val="009A4FE6"/>
    <w:rsid w:val="009D55BB"/>
    <w:rsid w:val="009E4611"/>
    <w:rsid w:val="00A3345F"/>
    <w:rsid w:val="00A45A4F"/>
    <w:rsid w:val="00A5346C"/>
    <w:rsid w:val="00A57994"/>
    <w:rsid w:val="00A91C80"/>
    <w:rsid w:val="00AA1B1A"/>
    <w:rsid w:val="00AB69BD"/>
    <w:rsid w:val="00AB7D7A"/>
    <w:rsid w:val="00AE5712"/>
    <w:rsid w:val="00AF6692"/>
    <w:rsid w:val="00B75FD5"/>
    <w:rsid w:val="00BB202B"/>
    <w:rsid w:val="00BC0F83"/>
    <w:rsid w:val="00BC7248"/>
    <w:rsid w:val="00C01121"/>
    <w:rsid w:val="00C0609B"/>
    <w:rsid w:val="00C46EA8"/>
    <w:rsid w:val="00C730EF"/>
    <w:rsid w:val="00C8010B"/>
    <w:rsid w:val="00C80EC3"/>
    <w:rsid w:val="00C87CDE"/>
    <w:rsid w:val="00C966D4"/>
    <w:rsid w:val="00CA06F3"/>
    <w:rsid w:val="00D13B87"/>
    <w:rsid w:val="00D40F9F"/>
    <w:rsid w:val="00D87F73"/>
    <w:rsid w:val="00DA21D9"/>
    <w:rsid w:val="00E20871"/>
    <w:rsid w:val="00E341F1"/>
    <w:rsid w:val="00E40761"/>
    <w:rsid w:val="00EB21B5"/>
    <w:rsid w:val="00EB7B5B"/>
    <w:rsid w:val="00EC6524"/>
    <w:rsid w:val="00ED500D"/>
    <w:rsid w:val="00EE1000"/>
    <w:rsid w:val="00EF6B29"/>
    <w:rsid w:val="00F0616F"/>
    <w:rsid w:val="00F327C8"/>
    <w:rsid w:val="00F50095"/>
    <w:rsid w:val="00F7705C"/>
    <w:rsid w:val="00FA2470"/>
    <w:rsid w:val="00FA6A3A"/>
    <w:rsid w:val="00FF5F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75C64"/>
  <w15:chartTrackingRefBased/>
  <w15:docId w15:val="{6F50B237-7400-4337-9A90-05CBC6B6E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C80"/>
    <w:pPr>
      <w:ind w:left="720"/>
      <w:contextualSpacing/>
    </w:pPr>
  </w:style>
  <w:style w:type="character" w:styleId="CommentReference">
    <w:name w:val="annotation reference"/>
    <w:basedOn w:val="DefaultParagraphFont"/>
    <w:uiPriority w:val="99"/>
    <w:semiHidden/>
    <w:unhideWhenUsed/>
    <w:rsid w:val="00A91C80"/>
    <w:rPr>
      <w:sz w:val="16"/>
      <w:szCs w:val="16"/>
    </w:rPr>
  </w:style>
  <w:style w:type="paragraph" w:styleId="CommentText">
    <w:name w:val="annotation text"/>
    <w:basedOn w:val="Normal"/>
    <w:link w:val="CommentTextChar"/>
    <w:uiPriority w:val="99"/>
    <w:unhideWhenUsed/>
    <w:rsid w:val="00A91C80"/>
    <w:pPr>
      <w:spacing w:line="240" w:lineRule="auto"/>
    </w:pPr>
    <w:rPr>
      <w:sz w:val="20"/>
      <w:szCs w:val="20"/>
    </w:rPr>
  </w:style>
  <w:style w:type="character" w:customStyle="1" w:styleId="CommentTextChar">
    <w:name w:val="Comment Text Char"/>
    <w:basedOn w:val="DefaultParagraphFont"/>
    <w:link w:val="CommentText"/>
    <w:uiPriority w:val="99"/>
    <w:rsid w:val="00A91C80"/>
    <w:rPr>
      <w:sz w:val="20"/>
      <w:szCs w:val="20"/>
    </w:rPr>
  </w:style>
  <w:style w:type="character" w:styleId="Hyperlink">
    <w:name w:val="Hyperlink"/>
    <w:basedOn w:val="DefaultParagraphFont"/>
    <w:uiPriority w:val="99"/>
    <w:unhideWhenUsed/>
    <w:rsid w:val="00A91C80"/>
    <w:rPr>
      <w:color w:val="0563C1" w:themeColor="hyperlink"/>
      <w:u w:val="single"/>
    </w:rPr>
  </w:style>
  <w:style w:type="paragraph" w:styleId="BalloonText">
    <w:name w:val="Balloon Text"/>
    <w:basedOn w:val="Normal"/>
    <w:link w:val="BalloonTextChar"/>
    <w:uiPriority w:val="99"/>
    <w:semiHidden/>
    <w:unhideWhenUsed/>
    <w:rsid w:val="00A91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C8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22C58"/>
    <w:rPr>
      <w:b/>
      <w:bCs/>
    </w:rPr>
  </w:style>
  <w:style w:type="character" w:customStyle="1" w:styleId="CommentSubjectChar">
    <w:name w:val="Comment Subject Char"/>
    <w:basedOn w:val="CommentTextChar"/>
    <w:link w:val="CommentSubject"/>
    <w:uiPriority w:val="99"/>
    <w:semiHidden/>
    <w:rsid w:val="00022C58"/>
    <w:rPr>
      <w:b/>
      <w:bCs/>
      <w:sz w:val="20"/>
      <w:szCs w:val="20"/>
    </w:rPr>
  </w:style>
  <w:style w:type="table" w:styleId="TableGrid">
    <w:name w:val="Table Grid"/>
    <w:basedOn w:val="TableNormal"/>
    <w:uiPriority w:val="99"/>
    <w:rsid w:val="00296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1000"/>
    <w:pPr>
      <w:spacing w:after="0" w:line="240" w:lineRule="auto"/>
    </w:pPr>
  </w:style>
  <w:style w:type="character" w:styleId="FollowedHyperlink">
    <w:name w:val="FollowedHyperlink"/>
    <w:basedOn w:val="DefaultParagraphFont"/>
    <w:uiPriority w:val="99"/>
    <w:semiHidden/>
    <w:unhideWhenUsed/>
    <w:rsid w:val="00E40761"/>
    <w:rPr>
      <w:color w:val="954F72" w:themeColor="followedHyperlink"/>
      <w:u w:val="single"/>
    </w:rPr>
  </w:style>
  <w:style w:type="table" w:customStyle="1" w:styleId="Grilledutableau1">
    <w:name w:val="Grille du tableau1"/>
    <w:basedOn w:val="TableNormal"/>
    <w:next w:val="TableGrid"/>
    <w:uiPriority w:val="99"/>
    <w:rsid w:val="00E2087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37015">
      <w:bodyDiv w:val="1"/>
      <w:marLeft w:val="0"/>
      <w:marRight w:val="0"/>
      <w:marTop w:val="0"/>
      <w:marBottom w:val="0"/>
      <w:divBdr>
        <w:top w:val="none" w:sz="0" w:space="0" w:color="auto"/>
        <w:left w:val="none" w:sz="0" w:space="0" w:color="auto"/>
        <w:bottom w:val="none" w:sz="0" w:space="0" w:color="auto"/>
        <w:right w:val="none" w:sz="0" w:space="0" w:color="auto"/>
      </w:divBdr>
    </w:div>
    <w:div w:id="401566087">
      <w:bodyDiv w:val="1"/>
      <w:marLeft w:val="0"/>
      <w:marRight w:val="0"/>
      <w:marTop w:val="0"/>
      <w:marBottom w:val="0"/>
      <w:divBdr>
        <w:top w:val="none" w:sz="0" w:space="0" w:color="auto"/>
        <w:left w:val="none" w:sz="0" w:space="0" w:color="auto"/>
        <w:bottom w:val="none" w:sz="0" w:space="0" w:color="auto"/>
        <w:right w:val="none" w:sz="0" w:space="0" w:color="auto"/>
      </w:divBdr>
    </w:div>
    <w:div w:id="928008094">
      <w:bodyDiv w:val="1"/>
      <w:marLeft w:val="0"/>
      <w:marRight w:val="0"/>
      <w:marTop w:val="0"/>
      <w:marBottom w:val="0"/>
      <w:divBdr>
        <w:top w:val="none" w:sz="0" w:space="0" w:color="auto"/>
        <w:left w:val="none" w:sz="0" w:space="0" w:color="auto"/>
        <w:bottom w:val="none" w:sz="0" w:space="0" w:color="auto"/>
        <w:right w:val="none" w:sz="0" w:space="0" w:color="auto"/>
      </w:divBdr>
    </w:div>
    <w:div w:id="1218711824">
      <w:bodyDiv w:val="1"/>
      <w:marLeft w:val="0"/>
      <w:marRight w:val="0"/>
      <w:marTop w:val="0"/>
      <w:marBottom w:val="0"/>
      <w:divBdr>
        <w:top w:val="none" w:sz="0" w:space="0" w:color="auto"/>
        <w:left w:val="none" w:sz="0" w:space="0" w:color="auto"/>
        <w:bottom w:val="none" w:sz="0" w:space="0" w:color="auto"/>
        <w:right w:val="none" w:sz="0" w:space="0" w:color="auto"/>
      </w:divBdr>
    </w:div>
    <w:div w:id="1227497410">
      <w:bodyDiv w:val="1"/>
      <w:marLeft w:val="0"/>
      <w:marRight w:val="0"/>
      <w:marTop w:val="0"/>
      <w:marBottom w:val="0"/>
      <w:divBdr>
        <w:top w:val="none" w:sz="0" w:space="0" w:color="auto"/>
        <w:left w:val="none" w:sz="0" w:space="0" w:color="auto"/>
        <w:bottom w:val="none" w:sz="0" w:space="0" w:color="auto"/>
        <w:right w:val="none" w:sz="0" w:space="0" w:color="auto"/>
      </w:divBdr>
    </w:div>
    <w:div w:id="1257206213">
      <w:bodyDiv w:val="1"/>
      <w:marLeft w:val="0"/>
      <w:marRight w:val="0"/>
      <w:marTop w:val="0"/>
      <w:marBottom w:val="0"/>
      <w:divBdr>
        <w:top w:val="none" w:sz="0" w:space="0" w:color="auto"/>
        <w:left w:val="none" w:sz="0" w:space="0" w:color="auto"/>
        <w:bottom w:val="none" w:sz="0" w:space="0" w:color="auto"/>
        <w:right w:val="none" w:sz="0" w:space="0" w:color="auto"/>
      </w:divBdr>
    </w:div>
    <w:div w:id="1312638910">
      <w:bodyDiv w:val="1"/>
      <w:marLeft w:val="0"/>
      <w:marRight w:val="0"/>
      <w:marTop w:val="0"/>
      <w:marBottom w:val="0"/>
      <w:divBdr>
        <w:top w:val="none" w:sz="0" w:space="0" w:color="auto"/>
        <w:left w:val="none" w:sz="0" w:space="0" w:color="auto"/>
        <w:bottom w:val="none" w:sz="0" w:space="0" w:color="auto"/>
        <w:right w:val="none" w:sz="0" w:space="0" w:color="auto"/>
      </w:divBdr>
    </w:div>
    <w:div w:id="1342002817">
      <w:bodyDiv w:val="1"/>
      <w:marLeft w:val="0"/>
      <w:marRight w:val="0"/>
      <w:marTop w:val="0"/>
      <w:marBottom w:val="0"/>
      <w:divBdr>
        <w:top w:val="none" w:sz="0" w:space="0" w:color="auto"/>
        <w:left w:val="none" w:sz="0" w:space="0" w:color="auto"/>
        <w:bottom w:val="none" w:sz="0" w:space="0" w:color="auto"/>
        <w:right w:val="none" w:sz="0" w:space="0" w:color="auto"/>
      </w:divBdr>
    </w:div>
    <w:div w:id="1382902299">
      <w:bodyDiv w:val="1"/>
      <w:marLeft w:val="0"/>
      <w:marRight w:val="0"/>
      <w:marTop w:val="0"/>
      <w:marBottom w:val="0"/>
      <w:divBdr>
        <w:top w:val="none" w:sz="0" w:space="0" w:color="auto"/>
        <w:left w:val="none" w:sz="0" w:space="0" w:color="auto"/>
        <w:bottom w:val="none" w:sz="0" w:space="0" w:color="auto"/>
        <w:right w:val="none" w:sz="0" w:space="0" w:color="auto"/>
      </w:divBdr>
    </w:div>
    <w:div w:id="2141065861">
      <w:bodyDiv w:val="1"/>
      <w:marLeft w:val="0"/>
      <w:marRight w:val="0"/>
      <w:marTop w:val="0"/>
      <w:marBottom w:val="0"/>
      <w:divBdr>
        <w:top w:val="none" w:sz="0" w:space="0" w:color="auto"/>
        <w:left w:val="none" w:sz="0" w:space="0" w:color="auto"/>
        <w:bottom w:val="none" w:sz="0" w:space="0" w:color="auto"/>
        <w:right w:val="none" w:sz="0" w:space="0" w:color="auto"/>
      </w:divBdr>
      <w:divsChild>
        <w:div w:id="558324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air.SC@canada.ca" TargetMode="External"/><Relationship Id="rId3" Type="http://schemas.openxmlformats.org/officeDocument/2006/relationships/settings" Target="settings.xml"/><Relationship Id="rId7" Type="http://schemas.openxmlformats.org/officeDocument/2006/relationships/hyperlink" Target="file:///C:\Users\Lvezina\AppData\Local\Microsoft\Windows\INetCache\Content.Outlook\9W6U4SAQ\:%20https:\www.canada.ca\en\health-canada\services\publications\healthy-living\indoor-air-reference-levels.html" TargetMode="External"/><Relationship Id="rId12" Type="http://schemas.openxmlformats.org/officeDocument/2006/relationships/theme" Target="theme/theme1.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hyperlink" Target="https://www.canada.ca/en/health-canada/services/air-quality/residential-indoor-air-quality-guidelines.html" TargetMode="External"/><Relationship Id="rId11" Type="http://schemas.openxmlformats.org/officeDocument/2006/relationships/fontTable" Target="fontTable.xml"/><Relationship Id="rId5" Type="http://schemas.openxmlformats.org/officeDocument/2006/relationships/hyperlink" Target="https://www.canada.ca/en/health-canada/services/air-quality/residential-indoor-air-quality-guidelines/risk-assessment-prioritization-process-indoor-air-contaminants.html" TargetMode="External"/><Relationship Id="rId15" Type="http://schemas.microsoft.com/office/2016/09/relationships/commentsIds" Target="commentsIds.xml"/><Relationship Id="rId10" Type="http://schemas.openxmlformats.org/officeDocument/2006/relationships/hyperlink" Target="https://www.canada.ca/en/health-canada/services/publications/healthy-living/guidance-cleaner-air-spaces-during-wildfire-smoke-events.html" TargetMode="External"/><Relationship Id="rId4" Type="http://schemas.openxmlformats.org/officeDocument/2006/relationships/webSettings" Target="webSettings.xml"/><Relationship Id="rId9" Type="http://schemas.openxmlformats.org/officeDocument/2006/relationships/hyperlink" Target="https://www.canada.ca/en/health-canada/services/publications/healthy-living/factsheet-improving-air-quality-ice-aren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792</Words>
  <Characters>4516</Characters>
  <Application>Microsoft Office Word</Application>
  <DocSecurity>12</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Health Canada - Santé Canada</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Wille</dc:creator>
  <cp:keywords/>
  <dc:description/>
  <cp:lastModifiedBy>Jocelyn Moore</cp:lastModifiedBy>
  <cp:revision>2</cp:revision>
  <cp:lastPrinted>2021-06-25T13:23:00Z</cp:lastPrinted>
  <dcterms:created xsi:type="dcterms:W3CDTF">2021-06-25T15:43:00Z</dcterms:created>
  <dcterms:modified xsi:type="dcterms:W3CDTF">2021-06-25T15:43:00Z</dcterms:modified>
</cp:coreProperties>
</file>